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4EE" w:rsidRPr="003930E3" w:rsidRDefault="003930E3" w:rsidP="00547583">
      <w:pPr>
        <w:jc w:val="center"/>
        <w:rPr>
          <w:rFonts w:ascii="Arial" w:hAnsi="Arial" w:cs="Arial"/>
          <w:b/>
        </w:rPr>
      </w:pPr>
      <w:r>
        <w:rPr>
          <w:rFonts w:ascii="Arial" w:hAnsi="Arial" w:cs="Arial"/>
          <w:b/>
        </w:rPr>
        <w:t>X</w:t>
      </w:r>
      <w:r w:rsidR="00DC5B46">
        <w:rPr>
          <w:rFonts w:ascii="Arial" w:hAnsi="Arial" w:cs="Arial"/>
          <w:b/>
        </w:rPr>
        <w:t>X</w:t>
      </w:r>
      <w:r>
        <w:rPr>
          <w:rFonts w:ascii="Arial" w:hAnsi="Arial" w:cs="Arial"/>
          <w:b/>
        </w:rPr>
        <w:t xml:space="preserve"> COBREAP – CONGRESSO BRASILEIRO DE ENGENHARIA DE AVALIAÇÕES E PERÍCIAS – IBAPE/</w:t>
      </w:r>
      <w:r w:rsidR="00DC5B46">
        <w:rPr>
          <w:rFonts w:ascii="Arial" w:hAnsi="Arial" w:cs="Arial"/>
          <w:b/>
        </w:rPr>
        <w:t>BA</w:t>
      </w:r>
      <w:r>
        <w:rPr>
          <w:rFonts w:ascii="Arial" w:hAnsi="Arial" w:cs="Arial"/>
          <w:b/>
        </w:rPr>
        <w:t xml:space="preserve"> – 20</w:t>
      </w:r>
      <w:r w:rsidR="00DC5B46">
        <w:rPr>
          <w:rFonts w:ascii="Arial" w:hAnsi="Arial" w:cs="Arial"/>
          <w:b/>
        </w:rPr>
        <w:t>1</w:t>
      </w:r>
      <w:r>
        <w:rPr>
          <w:rFonts w:ascii="Arial" w:hAnsi="Arial" w:cs="Arial"/>
          <w:b/>
        </w:rPr>
        <w:t xml:space="preserve">9 </w:t>
      </w:r>
    </w:p>
    <w:p w:rsidR="007A39FB" w:rsidRPr="00547583" w:rsidRDefault="007A39FB" w:rsidP="00547583">
      <w:pPr>
        <w:jc w:val="center"/>
        <w:rPr>
          <w:rFonts w:ascii="Arial" w:hAnsi="Arial" w:cs="Arial"/>
        </w:rPr>
      </w:pPr>
    </w:p>
    <w:p w:rsidR="007A39FB" w:rsidRPr="00547583" w:rsidRDefault="007A39FB" w:rsidP="00547583">
      <w:pPr>
        <w:jc w:val="center"/>
        <w:rPr>
          <w:rFonts w:ascii="Arial" w:hAnsi="Arial" w:cs="Arial"/>
        </w:rPr>
      </w:pPr>
    </w:p>
    <w:p w:rsidR="007A39FB" w:rsidRPr="00547583" w:rsidRDefault="007A39FB" w:rsidP="00547583">
      <w:pPr>
        <w:jc w:val="center"/>
        <w:rPr>
          <w:rFonts w:ascii="Arial" w:hAnsi="Arial" w:cs="Arial"/>
        </w:rPr>
      </w:pPr>
    </w:p>
    <w:p w:rsidR="00937AA7" w:rsidRDefault="00937AA7"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5D5615" w:rsidRDefault="005D5615"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3930E3">
      <w:pPr>
        <w:jc w:val="center"/>
        <w:rPr>
          <w:rFonts w:ascii="Arial" w:hAnsi="Arial" w:cs="Arial"/>
          <w:b/>
        </w:rPr>
      </w:pPr>
    </w:p>
    <w:p w:rsidR="003930E3" w:rsidRDefault="003930E3" w:rsidP="003930E3">
      <w:pPr>
        <w:jc w:val="center"/>
        <w:rPr>
          <w:rFonts w:ascii="Arial" w:hAnsi="Arial" w:cs="Arial"/>
          <w:b/>
        </w:rPr>
      </w:pPr>
    </w:p>
    <w:p w:rsidR="003930E3" w:rsidRDefault="003930E3" w:rsidP="003930E3">
      <w:pPr>
        <w:jc w:val="center"/>
        <w:rPr>
          <w:rFonts w:ascii="Arial" w:hAnsi="Arial" w:cs="Arial"/>
          <w:b/>
        </w:rPr>
      </w:pPr>
    </w:p>
    <w:p w:rsidR="003930E3" w:rsidRDefault="003930E3" w:rsidP="003930E3">
      <w:pPr>
        <w:jc w:val="center"/>
        <w:rPr>
          <w:rFonts w:ascii="Arial" w:hAnsi="Arial" w:cs="Arial"/>
          <w:b/>
        </w:rPr>
      </w:pPr>
    </w:p>
    <w:p w:rsidR="003930E3" w:rsidRDefault="003930E3" w:rsidP="003930E3">
      <w:pPr>
        <w:jc w:val="center"/>
        <w:rPr>
          <w:rFonts w:ascii="Arial" w:hAnsi="Arial" w:cs="Arial"/>
          <w:b/>
        </w:rPr>
      </w:pPr>
      <w:r>
        <w:rPr>
          <w:rFonts w:ascii="Arial" w:hAnsi="Arial" w:cs="Arial"/>
          <w:b/>
        </w:rPr>
        <w:t>TRABALHO DE AVALIAÇÃO</w:t>
      </w: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3930E3" w:rsidRDefault="003930E3" w:rsidP="00547583">
      <w:pPr>
        <w:jc w:val="both"/>
        <w:rPr>
          <w:rFonts w:ascii="Arial" w:hAnsi="Arial" w:cs="Arial"/>
          <w:b/>
        </w:rPr>
      </w:pPr>
    </w:p>
    <w:p w:rsidR="005D5615" w:rsidRDefault="005D5615" w:rsidP="00547583">
      <w:pPr>
        <w:jc w:val="both"/>
        <w:rPr>
          <w:rFonts w:ascii="Arial" w:hAnsi="Arial" w:cs="Arial"/>
          <w:b/>
        </w:rPr>
      </w:pPr>
    </w:p>
    <w:p w:rsidR="002355BD" w:rsidRPr="00547583" w:rsidRDefault="002355BD" w:rsidP="00547583">
      <w:pPr>
        <w:jc w:val="both"/>
        <w:rPr>
          <w:rFonts w:ascii="Arial" w:hAnsi="Arial" w:cs="Arial"/>
          <w:b/>
        </w:rPr>
      </w:pPr>
    </w:p>
    <w:p w:rsidR="00937AA7" w:rsidRPr="00547583" w:rsidRDefault="00937AA7" w:rsidP="00547583">
      <w:pPr>
        <w:jc w:val="both"/>
        <w:rPr>
          <w:rFonts w:ascii="Arial" w:hAnsi="Arial" w:cs="Arial"/>
          <w:b/>
        </w:rPr>
      </w:pPr>
    </w:p>
    <w:p w:rsidR="00937AA7" w:rsidRPr="00547583" w:rsidRDefault="00937AA7" w:rsidP="00547583">
      <w:pPr>
        <w:jc w:val="both"/>
        <w:rPr>
          <w:rFonts w:ascii="Arial" w:hAnsi="Arial" w:cs="Arial"/>
          <w:b/>
        </w:rPr>
      </w:pPr>
    </w:p>
    <w:p w:rsidR="007A39FB" w:rsidRPr="003930E3" w:rsidRDefault="007A39FB" w:rsidP="00547583">
      <w:pPr>
        <w:jc w:val="both"/>
        <w:rPr>
          <w:rFonts w:ascii="Arial" w:hAnsi="Arial" w:cs="Arial"/>
          <w:i/>
          <w:sz w:val="20"/>
          <w:szCs w:val="20"/>
        </w:rPr>
      </w:pPr>
      <w:r w:rsidRPr="003930E3">
        <w:rPr>
          <w:rFonts w:ascii="Arial" w:hAnsi="Arial" w:cs="Arial"/>
          <w:b/>
          <w:i/>
          <w:sz w:val="20"/>
          <w:szCs w:val="20"/>
        </w:rPr>
        <w:t xml:space="preserve">Resumo: </w:t>
      </w:r>
      <w:r w:rsidR="00DC5B46">
        <w:rPr>
          <w:rFonts w:ascii="Arial" w:hAnsi="Arial" w:cs="Arial"/>
          <w:i/>
          <w:sz w:val="20"/>
          <w:szCs w:val="20"/>
        </w:rPr>
        <w:t>O mercado de arte se expandiu de forma considerável nas últimas décadas, e obras de arte tem atingido preços astronômicos. Diante deste contexto, a compra de obras de arte, tanto em leilões quanto em vendas diretas, deixou de ser exclusiva dos colecionadores e museus, tendo hoje grande participação dos investidores. Mas apresentará o mercado de arte uma rentabilidade adequada? Este trabalho discute os e</w:t>
      </w:r>
      <w:r w:rsidR="00B56F0C">
        <w:rPr>
          <w:rFonts w:ascii="Arial" w:hAnsi="Arial" w:cs="Arial"/>
          <w:i/>
          <w:sz w:val="20"/>
          <w:szCs w:val="20"/>
        </w:rPr>
        <w:t>studos já feitos sobre o tema, b</w:t>
      </w:r>
      <w:r w:rsidR="00DC5B46">
        <w:rPr>
          <w:rFonts w:ascii="Arial" w:hAnsi="Arial" w:cs="Arial"/>
          <w:i/>
          <w:sz w:val="20"/>
          <w:szCs w:val="20"/>
        </w:rPr>
        <w:t>em como apresenta uma metodologia para determinação da rentabilidade de obras de arte num período específico, terminando por aplicar a mesma a obras do pintor francês Henri Matiss</w:t>
      </w:r>
      <w:r w:rsidR="00B007F8">
        <w:rPr>
          <w:rFonts w:ascii="Arial" w:hAnsi="Arial" w:cs="Arial"/>
          <w:i/>
          <w:sz w:val="20"/>
          <w:szCs w:val="20"/>
        </w:rPr>
        <w:t>e</w:t>
      </w:r>
      <w:r w:rsidR="00DC5B46">
        <w:rPr>
          <w:rFonts w:ascii="Arial" w:hAnsi="Arial" w:cs="Arial"/>
          <w:i/>
          <w:sz w:val="20"/>
          <w:szCs w:val="20"/>
        </w:rPr>
        <w:t>.</w:t>
      </w:r>
    </w:p>
    <w:p w:rsidR="00EA4321" w:rsidRPr="00547583" w:rsidRDefault="00EA4321" w:rsidP="00547583">
      <w:pPr>
        <w:jc w:val="both"/>
        <w:rPr>
          <w:rFonts w:ascii="Arial" w:hAnsi="Arial" w:cs="Arial"/>
        </w:rPr>
      </w:pPr>
    </w:p>
    <w:p w:rsidR="00EA4321" w:rsidRPr="003930E3" w:rsidRDefault="00EA4321" w:rsidP="00547583">
      <w:pPr>
        <w:jc w:val="both"/>
        <w:rPr>
          <w:rFonts w:ascii="Arial" w:hAnsi="Arial" w:cs="Arial"/>
          <w:i/>
          <w:sz w:val="20"/>
          <w:szCs w:val="20"/>
        </w:rPr>
      </w:pPr>
      <w:r w:rsidRPr="003930E3">
        <w:rPr>
          <w:rFonts w:ascii="Arial" w:hAnsi="Arial" w:cs="Arial"/>
          <w:b/>
          <w:i/>
          <w:sz w:val="20"/>
          <w:szCs w:val="20"/>
        </w:rPr>
        <w:t xml:space="preserve">Palavras chave: </w:t>
      </w:r>
      <w:r w:rsidR="00DC5B46">
        <w:rPr>
          <w:rFonts w:ascii="Arial" w:hAnsi="Arial" w:cs="Arial"/>
          <w:i/>
          <w:sz w:val="20"/>
          <w:szCs w:val="20"/>
        </w:rPr>
        <w:t>Rentabilidade</w:t>
      </w:r>
      <w:r w:rsidRPr="005D5615">
        <w:rPr>
          <w:rFonts w:ascii="Arial" w:hAnsi="Arial" w:cs="Arial"/>
          <w:i/>
          <w:sz w:val="20"/>
          <w:szCs w:val="20"/>
        </w:rPr>
        <w:t xml:space="preserve">, </w:t>
      </w:r>
      <w:r w:rsidR="00DC5B46">
        <w:rPr>
          <w:rFonts w:ascii="Arial" w:hAnsi="Arial" w:cs="Arial"/>
          <w:i/>
          <w:sz w:val="20"/>
          <w:szCs w:val="20"/>
        </w:rPr>
        <w:t>Obras de Arte, Preços Hedônicos</w:t>
      </w:r>
    </w:p>
    <w:p w:rsidR="00937AA7" w:rsidRPr="00547583" w:rsidRDefault="00937AA7" w:rsidP="00547583">
      <w:pPr>
        <w:jc w:val="both"/>
        <w:rPr>
          <w:rFonts w:ascii="Arial" w:hAnsi="Arial" w:cs="Arial"/>
        </w:rPr>
      </w:pPr>
    </w:p>
    <w:p w:rsidR="00937AA7" w:rsidRPr="00547583" w:rsidRDefault="00937AA7" w:rsidP="00547583">
      <w:pPr>
        <w:jc w:val="both"/>
        <w:rPr>
          <w:rFonts w:ascii="Arial" w:hAnsi="Arial" w:cs="Arial"/>
        </w:rPr>
      </w:pPr>
    </w:p>
    <w:p w:rsidR="00937AA7" w:rsidRPr="00547583" w:rsidRDefault="00937AA7" w:rsidP="00547583">
      <w:pPr>
        <w:jc w:val="both"/>
        <w:rPr>
          <w:rFonts w:ascii="Arial" w:hAnsi="Arial" w:cs="Arial"/>
        </w:rPr>
      </w:pPr>
    </w:p>
    <w:p w:rsidR="00937AA7" w:rsidRDefault="00937AA7" w:rsidP="00547583">
      <w:pPr>
        <w:jc w:val="both"/>
        <w:rPr>
          <w:rFonts w:ascii="Arial" w:hAnsi="Arial" w:cs="Arial"/>
          <w:lang w:val="en-US"/>
        </w:rPr>
      </w:pPr>
    </w:p>
    <w:p w:rsidR="005D5615" w:rsidRPr="00547583" w:rsidRDefault="005D5615" w:rsidP="00547583">
      <w:pPr>
        <w:jc w:val="both"/>
        <w:rPr>
          <w:rFonts w:ascii="Arial" w:hAnsi="Arial" w:cs="Arial"/>
          <w:lang w:val="en-US"/>
        </w:rPr>
      </w:pPr>
    </w:p>
    <w:p w:rsidR="00937AA7" w:rsidRPr="00547583" w:rsidRDefault="00937AA7" w:rsidP="00547583">
      <w:pPr>
        <w:jc w:val="both"/>
        <w:rPr>
          <w:rFonts w:ascii="Arial" w:hAnsi="Arial" w:cs="Arial"/>
          <w:lang w:val="en-US"/>
        </w:rPr>
      </w:pPr>
    </w:p>
    <w:p w:rsidR="00937AA7" w:rsidRPr="00547583" w:rsidRDefault="00937AA7" w:rsidP="00547583">
      <w:pPr>
        <w:jc w:val="both"/>
        <w:rPr>
          <w:rFonts w:ascii="Arial" w:hAnsi="Arial" w:cs="Arial"/>
          <w:lang w:val="en-US"/>
        </w:rPr>
      </w:pPr>
    </w:p>
    <w:p w:rsidR="00937AA7" w:rsidRPr="00547583" w:rsidRDefault="00937AA7" w:rsidP="00547583">
      <w:pPr>
        <w:jc w:val="both"/>
        <w:rPr>
          <w:rFonts w:ascii="Arial" w:hAnsi="Arial" w:cs="Arial"/>
          <w:lang w:val="en-US"/>
        </w:rPr>
      </w:pPr>
    </w:p>
    <w:p w:rsidR="00937AA7" w:rsidRPr="00547583" w:rsidRDefault="00937AA7" w:rsidP="00547583">
      <w:pPr>
        <w:jc w:val="both"/>
        <w:rPr>
          <w:rFonts w:ascii="Arial" w:hAnsi="Arial" w:cs="Arial"/>
          <w:lang w:val="en-US"/>
        </w:rPr>
      </w:pPr>
    </w:p>
    <w:p w:rsidR="00937AA7" w:rsidRPr="00547583" w:rsidRDefault="00937AA7" w:rsidP="00547583">
      <w:pPr>
        <w:jc w:val="both"/>
        <w:rPr>
          <w:rFonts w:ascii="Arial" w:hAnsi="Arial" w:cs="Arial"/>
          <w:b/>
        </w:rPr>
      </w:pPr>
      <w:r w:rsidRPr="00547583">
        <w:rPr>
          <w:rFonts w:ascii="Arial" w:hAnsi="Arial" w:cs="Arial"/>
          <w:b/>
        </w:rPr>
        <w:t>1. INTRODUÇÃO</w:t>
      </w:r>
    </w:p>
    <w:p w:rsidR="00937AA7" w:rsidRPr="00547583" w:rsidRDefault="00937AA7" w:rsidP="00547583">
      <w:pPr>
        <w:jc w:val="both"/>
        <w:rPr>
          <w:rFonts w:ascii="Arial" w:hAnsi="Arial" w:cs="Arial"/>
          <w:b/>
        </w:rPr>
      </w:pPr>
    </w:p>
    <w:p w:rsidR="00317CAB" w:rsidRDefault="00B52BCA" w:rsidP="001404D5">
      <w:pPr>
        <w:ind w:firstLine="720"/>
        <w:jc w:val="both"/>
        <w:rPr>
          <w:rFonts w:ascii="Arial" w:hAnsi="Arial" w:cs="Arial"/>
        </w:rPr>
      </w:pPr>
      <w:r>
        <w:rPr>
          <w:rFonts w:ascii="Arial" w:hAnsi="Arial" w:cs="Arial"/>
        </w:rPr>
        <w:t>O mercado de arte tem experimentado, ao longo dos anos, um crescimento expressivo. De acordo com Melnik e Plaut (2008), o valor de vendas em leilões passou de 115 milhões de dólares em 1970 para quase 2,2 bilhões, em 2000.</w:t>
      </w:r>
      <w:r w:rsidR="00B31AB5">
        <w:rPr>
          <w:rFonts w:ascii="Arial" w:hAnsi="Arial" w:cs="Arial"/>
        </w:rPr>
        <w:t xml:space="preserve"> </w:t>
      </w:r>
      <w:r w:rsidR="00652E0A">
        <w:rPr>
          <w:rFonts w:ascii="Arial" w:hAnsi="Arial" w:cs="Arial"/>
        </w:rPr>
        <w:t>Segundo</w:t>
      </w:r>
      <w:r w:rsidR="00B31AB5">
        <w:rPr>
          <w:rFonts w:ascii="Arial" w:hAnsi="Arial" w:cs="Arial"/>
        </w:rPr>
        <w:t xml:space="preserve"> Sutton</w:t>
      </w:r>
      <w:r>
        <w:rPr>
          <w:rFonts w:ascii="Arial" w:hAnsi="Arial" w:cs="Arial"/>
        </w:rPr>
        <w:t xml:space="preserve"> (</w:t>
      </w:r>
      <w:r w:rsidR="00B31AB5">
        <w:rPr>
          <w:rFonts w:ascii="Arial" w:hAnsi="Arial" w:cs="Arial"/>
        </w:rPr>
        <w:t>2019</w:t>
      </w:r>
      <w:r>
        <w:rPr>
          <w:rFonts w:ascii="Arial" w:hAnsi="Arial" w:cs="Arial"/>
        </w:rPr>
        <w:t>), este mesmo valor, em 2018, foi de 67,4 bilhões de dólares.</w:t>
      </w:r>
    </w:p>
    <w:p w:rsidR="00B52BCA" w:rsidRDefault="00652E0A" w:rsidP="001404D5">
      <w:pPr>
        <w:ind w:firstLine="720"/>
        <w:jc w:val="both"/>
        <w:rPr>
          <w:rFonts w:ascii="Arial" w:hAnsi="Arial" w:cs="Arial"/>
        </w:rPr>
      </w:pPr>
      <w:r>
        <w:rPr>
          <w:rFonts w:ascii="Arial" w:hAnsi="Arial" w:cs="Arial"/>
        </w:rPr>
        <w:t>Vendas recentes</w:t>
      </w:r>
      <w:r w:rsidR="00B52BCA">
        <w:rPr>
          <w:rFonts w:ascii="Arial" w:hAnsi="Arial" w:cs="Arial"/>
        </w:rPr>
        <w:t xml:space="preserve"> atingiram cifras </w:t>
      </w:r>
      <w:r>
        <w:rPr>
          <w:rFonts w:ascii="Arial" w:hAnsi="Arial" w:cs="Arial"/>
        </w:rPr>
        <w:t>extremamente elevadas</w:t>
      </w:r>
      <w:r w:rsidR="00B52BCA">
        <w:rPr>
          <w:rFonts w:ascii="Arial" w:hAnsi="Arial" w:cs="Arial"/>
        </w:rPr>
        <w:t xml:space="preserve">. A pintura </w:t>
      </w:r>
      <w:r w:rsidR="00B52BCA">
        <w:rPr>
          <w:rFonts w:ascii="Arial" w:hAnsi="Arial" w:cs="Arial"/>
          <w:i/>
        </w:rPr>
        <w:t>Salvator Mundi</w:t>
      </w:r>
      <w:r w:rsidR="00B52BCA">
        <w:rPr>
          <w:rFonts w:ascii="Arial" w:hAnsi="Arial" w:cs="Arial"/>
        </w:rPr>
        <w:t xml:space="preserve">, de Leonardo Da Vinci, foi vendida em 2017 pela casa de leilões Christie’s, em Nova York, por U$ 450,3 milhões, ou seja, mais de R$ 1,8 bilhões. </w:t>
      </w:r>
      <w:r w:rsidR="00B52BCA">
        <w:rPr>
          <w:rFonts w:ascii="Arial" w:hAnsi="Arial" w:cs="Arial"/>
          <w:i/>
        </w:rPr>
        <w:t>Interchange</w:t>
      </w:r>
      <w:r w:rsidR="00B52BCA">
        <w:rPr>
          <w:rFonts w:ascii="Arial" w:hAnsi="Arial" w:cs="Arial"/>
        </w:rPr>
        <w:t>, de Willem de Kooning, foi vendido em 2016 por U$ 300 milh</w:t>
      </w:r>
      <w:r w:rsidR="00EA5DA4">
        <w:rPr>
          <w:rFonts w:ascii="Arial" w:hAnsi="Arial" w:cs="Arial"/>
        </w:rPr>
        <w:t xml:space="preserve">ões, mesmo preço obtido por </w:t>
      </w:r>
      <w:r w:rsidR="00F92B73" w:rsidRPr="00F92B73">
        <w:rPr>
          <w:rFonts w:ascii="Arial" w:hAnsi="Arial" w:cs="Arial"/>
          <w:i/>
        </w:rPr>
        <w:t>Nafea faa ipoipo (Quando você irá se casar?)</w:t>
      </w:r>
      <w:r w:rsidR="00EA5DA4">
        <w:rPr>
          <w:rFonts w:ascii="Arial" w:hAnsi="Arial" w:cs="Arial"/>
        </w:rPr>
        <w:t>, de Paul Gauguin, em 2015.</w:t>
      </w:r>
    </w:p>
    <w:p w:rsidR="007540F9" w:rsidRPr="00847FAB" w:rsidRDefault="00B33C8C" w:rsidP="001404D5">
      <w:pPr>
        <w:ind w:firstLine="720"/>
        <w:jc w:val="both"/>
        <w:rPr>
          <w:rFonts w:ascii="Arial" w:hAnsi="Arial" w:cs="Arial"/>
        </w:rPr>
      </w:pPr>
      <w:r>
        <w:rPr>
          <w:rFonts w:ascii="Arial" w:hAnsi="Arial" w:cs="Arial"/>
        </w:rPr>
        <w:t xml:space="preserve">Valores como esses trazem evidências de que o mercado de arte é bastante atrativo, e algumas </w:t>
      </w:r>
      <w:r w:rsidR="00F92B73">
        <w:rPr>
          <w:rFonts w:ascii="Arial" w:hAnsi="Arial" w:cs="Arial"/>
        </w:rPr>
        <w:t>negociações</w:t>
      </w:r>
      <w:r>
        <w:rPr>
          <w:rFonts w:ascii="Arial" w:hAnsi="Arial" w:cs="Arial"/>
        </w:rPr>
        <w:t xml:space="preserve"> parecem dar suporte a essa impressão. Vejamos a pintura </w:t>
      </w:r>
      <w:r>
        <w:rPr>
          <w:rFonts w:ascii="Arial" w:hAnsi="Arial" w:cs="Arial"/>
          <w:i/>
        </w:rPr>
        <w:t>Irises</w:t>
      </w:r>
      <w:r>
        <w:rPr>
          <w:rFonts w:ascii="Arial" w:hAnsi="Arial" w:cs="Arial"/>
        </w:rPr>
        <w:t xml:space="preserve">, de Vincent Van Gogh. Ela foi vendida, em </w:t>
      </w:r>
      <w:r w:rsidR="00F92B73">
        <w:rPr>
          <w:rFonts w:ascii="Arial" w:hAnsi="Arial" w:cs="Arial"/>
        </w:rPr>
        <w:t>1948, por U$ 84.000,00 e, posteriormente, em 1987, por U$ 53,9 milhões</w:t>
      </w:r>
      <w:r w:rsidR="0050479A">
        <w:rPr>
          <w:rFonts w:ascii="Arial" w:hAnsi="Arial" w:cs="Arial"/>
        </w:rPr>
        <w:t xml:space="preserve">, resultando num retorno anual real (descontado da inflação) de 12,4%, em dólares, superior a </w:t>
      </w:r>
      <w:r w:rsidR="00847FAB">
        <w:rPr>
          <w:rFonts w:ascii="Arial" w:hAnsi="Arial" w:cs="Arial"/>
        </w:rPr>
        <w:t>maior parte dos</w:t>
      </w:r>
      <w:r w:rsidR="0050479A">
        <w:rPr>
          <w:rFonts w:ascii="Arial" w:hAnsi="Arial" w:cs="Arial"/>
        </w:rPr>
        <w:t xml:space="preserve"> </w:t>
      </w:r>
      <w:r w:rsidR="001614D3">
        <w:rPr>
          <w:rFonts w:ascii="Arial" w:hAnsi="Arial" w:cs="Arial"/>
        </w:rPr>
        <w:t>investimento</w:t>
      </w:r>
      <w:r w:rsidR="00847FAB">
        <w:rPr>
          <w:rFonts w:ascii="Arial" w:hAnsi="Arial" w:cs="Arial"/>
        </w:rPr>
        <w:t>s disponíveis</w:t>
      </w:r>
      <w:r w:rsidR="001614D3">
        <w:rPr>
          <w:rFonts w:ascii="Arial" w:hAnsi="Arial" w:cs="Arial"/>
        </w:rPr>
        <w:t>.</w:t>
      </w:r>
      <w:r w:rsidR="00847FAB">
        <w:rPr>
          <w:rFonts w:ascii="Arial" w:hAnsi="Arial" w:cs="Arial"/>
        </w:rPr>
        <w:t xml:space="preserve"> Por outro lado, </w:t>
      </w:r>
      <w:r w:rsidR="00847FAB">
        <w:rPr>
          <w:rFonts w:ascii="Arial" w:hAnsi="Arial" w:cs="Arial"/>
          <w:i/>
        </w:rPr>
        <w:t>Dans la Prairie</w:t>
      </w:r>
      <w:r w:rsidR="00847FAB">
        <w:rPr>
          <w:rFonts w:ascii="Arial" w:hAnsi="Arial" w:cs="Arial"/>
        </w:rPr>
        <w:t>, de Claude Monet foi vendido em 1999 por U$ 14 milhões e em 2009 por U$ 15,991 milhões, resultando num rendimento nominal de 1,4% e real de -0,</w:t>
      </w:r>
      <w:r w:rsidR="004B0ED4">
        <w:rPr>
          <w:rFonts w:ascii="Arial" w:hAnsi="Arial" w:cs="Arial"/>
        </w:rPr>
        <w:t>4</w:t>
      </w:r>
      <w:r w:rsidR="00847FAB">
        <w:rPr>
          <w:rFonts w:ascii="Arial" w:hAnsi="Arial" w:cs="Arial"/>
        </w:rPr>
        <w:t>% ao ano.</w:t>
      </w:r>
    </w:p>
    <w:p w:rsidR="00547583" w:rsidRDefault="007540F9" w:rsidP="00547583">
      <w:pPr>
        <w:jc w:val="both"/>
        <w:rPr>
          <w:rFonts w:ascii="Arial" w:hAnsi="Arial" w:cs="Arial"/>
        </w:rPr>
      </w:pPr>
      <w:r>
        <w:rPr>
          <w:rFonts w:ascii="Arial" w:hAnsi="Arial" w:cs="Arial"/>
        </w:rPr>
        <w:tab/>
      </w:r>
      <w:r w:rsidR="00847FAB">
        <w:rPr>
          <w:rFonts w:ascii="Arial" w:hAnsi="Arial" w:cs="Arial"/>
        </w:rPr>
        <w:t xml:space="preserve">Diante disso, percebe-se que </w:t>
      </w:r>
      <w:r w:rsidR="00AA6593">
        <w:rPr>
          <w:rFonts w:ascii="Arial" w:hAnsi="Arial" w:cs="Arial"/>
        </w:rPr>
        <w:t>não é possível inferir</w:t>
      </w:r>
      <w:r w:rsidR="004A4118">
        <w:rPr>
          <w:rFonts w:ascii="Arial" w:hAnsi="Arial" w:cs="Arial"/>
        </w:rPr>
        <w:t>,</w:t>
      </w:r>
      <w:r w:rsidR="00AA6593">
        <w:rPr>
          <w:rFonts w:ascii="Arial" w:hAnsi="Arial" w:cs="Arial"/>
        </w:rPr>
        <w:t xml:space="preserve"> de forma direta</w:t>
      </w:r>
      <w:r w:rsidR="004A4118">
        <w:rPr>
          <w:rFonts w:ascii="Arial" w:hAnsi="Arial" w:cs="Arial"/>
        </w:rPr>
        <w:t>,</w:t>
      </w:r>
      <w:r w:rsidR="00AA6593">
        <w:rPr>
          <w:rFonts w:ascii="Arial" w:hAnsi="Arial" w:cs="Arial"/>
        </w:rPr>
        <w:t xml:space="preserve"> que o mercado de arte gera altos rendimentos</w:t>
      </w:r>
      <w:r>
        <w:rPr>
          <w:rFonts w:ascii="Arial" w:hAnsi="Arial" w:cs="Arial"/>
        </w:rPr>
        <w:t>.</w:t>
      </w:r>
      <w:r w:rsidR="00AA6593">
        <w:rPr>
          <w:rFonts w:ascii="Arial" w:hAnsi="Arial" w:cs="Arial"/>
        </w:rPr>
        <w:t xml:space="preserve"> Pode-se ver obras de arte apresentando valores e rentabilidades altíssimos e, por outro lado, outras obras que, mesmo apresentando altos valores, apresentam rentabilidades baixas ou até negativas. Portanto, é razoável supor que diferentes artistas e, mesmo entre o mesmo artista, diferentes estilos e meios </w:t>
      </w:r>
      <w:r w:rsidR="00133CC5">
        <w:rPr>
          <w:rFonts w:ascii="Arial" w:hAnsi="Arial" w:cs="Arial"/>
        </w:rPr>
        <w:t>podem</w:t>
      </w:r>
      <w:r w:rsidR="00AA6593">
        <w:rPr>
          <w:rFonts w:ascii="Arial" w:hAnsi="Arial" w:cs="Arial"/>
        </w:rPr>
        <w:t xml:space="preserve"> resultar em valores e rentabilidades diferentes.</w:t>
      </w:r>
    </w:p>
    <w:p w:rsidR="007540F9" w:rsidRDefault="007540F9" w:rsidP="00547583">
      <w:pPr>
        <w:jc w:val="both"/>
        <w:rPr>
          <w:rFonts w:ascii="Arial" w:hAnsi="Arial" w:cs="Arial"/>
        </w:rPr>
      </w:pPr>
      <w:r>
        <w:rPr>
          <w:rFonts w:ascii="Arial" w:hAnsi="Arial" w:cs="Arial"/>
        </w:rPr>
        <w:tab/>
        <w:t>Neste artigo, será realizada uma an</w:t>
      </w:r>
      <w:r w:rsidR="0050386B">
        <w:rPr>
          <w:rFonts w:ascii="Arial" w:hAnsi="Arial" w:cs="Arial"/>
        </w:rPr>
        <w:t xml:space="preserve">álise das obras gráficas – pinturas, desenhos, gravuras e aquarelas – </w:t>
      </w:r>
      <w:r>
        <w:rPr>
          <w:rFonts w:ascii="Arial" w:hAnsi="Arial" w:cs="Arial"/>
        </w:rPr>
        <w:t>do artista francês Henri Matiss</w:t>
      </w:r>
      <w:r w:rsidR="00E6078D">
        <w:rPr>
          <w:rFonts w:ascii="Arial" w:hAnsi="Arial" w:cs="Arial"/>
        </w:rPr>
        <w:t>e</w:t>
      </w:r>
      <w:r>
        <w:rPr>
          <w:rFonts w:ascii="Arial" w:hAnsi="Arial" w:cs="Arial"/>
        </w:rPr>
        <w:t xml:space="preserve"> </w:t>
      </w:r>
      <w:r w:rsidR="0050386B">
        <w:rPr>
          <w:rFonts w:ascii="Arial" w:hAnsi="Arial" w:cs="Arial"/>
        </w:rPr>
        <w:t>(1869 – 1954), para determinar um índice de preços anual no período entre 200</w:t>
      </w:r>
      <w:r w:rsidR="004A4118">
        <w:rPr>
          <w:rFonts w:ascii="Arial" w:hAnsi="Arial" w:cs="Arial"/>
        </w:rPr>
        <w:t>1</w:t>
      </w:r>
      <w:r w:rsidR="0050386B">
        <w:rPr>
          <w:rFonts w:ascii="Arial" w:hAnsi="Arial" w:cs="Arial"/>
        </w:rPr>
        <w:t xml:space="preserve"> e 2018 e a consequente rentabilidade durante este intervalo.</w:t>
      </w:r>
    </w:p>
    <w:p w:rsidR="0050386B" w:rsidRDefault="0050386B" w:rsidP="00547583">
      <w:pPr>
        <w:jc w:val="both"/>
        <w:rPr>
          <w:rFonts w:ascii="Arial" w:hAnsi="Arial" w:cs="Arial"/>
        </w:rPr>
      </w:pPr>
      <w:r>
        <w:rPr>
          <w:rFonts w:ascii="Arial" w:hAnsi="Arial" w:cs="Arial"/>
        </w:rPr>
        <w:tab/>
        <w:t>Matiss</w:t>
      </w:r>
      <w:r w:rsidR="00B201FF">
        <w:rPr>
          <w:rFonts w:ascii="Arial" w:hAnsi="Arial" w:cs="Arial"/>
        </w:rPr>
        <w:t>e</w:t>
      </w:r>
      <w:r>
        <w:rPr>
          <w:rFonts w:ascii="Arial" w:hAnsi="Arial" w:cs="Arial"/>
        </w:rPr>
        <w:t xml:space="preserve"> foi um pintor modernista, o qual, segundo </w:t>
      </w:r>
      <w:r w:rsidR="00337489">
        <w:rPr>
          <w:rFonts w:ascii="Arial" w:hAnsi="Arial" w:cs="Arial"/>
        </w:rPr>
        <w:t xml:space="preserve">Gompertz (2013), foi o principal representante do fauvismo, </w:t>
      </w:r>
      <w:r w:rsidR="008F6AC9">
        <w:rPr>
          <w:rFonts w:ascii="Arial" w:hAnsi="Arial" w:cs="Arial"/>
        </w:rPr>
        <w:t>que</w:t>
      </w:r>
      <w:r w:rsidR="00337489">
        <w:rPr>
          <w:rFonts w:ascii="Arial" w:hAnsi="Arial" w:cs="Arial"/>
        </w:rPr>
        <w:t xml:space="preserve">, </w:t>
      </w:r>
      <w:r w:rsidR="003B559A">
        <w:rPr>
          <w:rFonts w:ascii="Arial" w:hAnsi="Arial" w:cs="Arial"/>
        </w:rPr>
        <w:t>de acordo com</w:t>
      </w:r>
      <w:r w:rsidR="00337489">
        <w:rPr>
          <w:rFonts w:ascii="Arial" w:hAnsi="Arial" w:cs="Arial"/>
        </w:rPr>
        <w:t xml:space="preserve"> Gombrich (2015), decorria da denominação que o mesmo e um pequeno grupo de artistas se autointitulava </w:t>
      </w:r>
      <w:r w:rsidR="00337489">
        <w:rPr>
          <w:rFonts w:ascii="Arial" w:hAnsi="Arial" w:cs="Arial"/>
          <w:i/>
        </w:rPr>
        <w:t>Les Fauves</w:t>
      </w:r>
      <w:r w:rsidR="00337489">
        <w:rPr>
          <w:rFonts w:ascii="Arial" w:hAnsi="Arial" w:cs="Arial"/>
        </w:rPr>
        <w:t xml:space="preserve"> ou os animais selvagens. Esta “selvageria” tinha mais a ver com o desprezo pelas formas e pelo uso de cores fortes e pinceladas bruscas.</w:t>
      </w:r>
      <w:r w:rsidR="00FC0886">
        <w:rPr>
          <w:rFonts w:ascii="Arial" w:hAnsi="Arial" w:cs="Arial"/>
        </w:rPr>
        <w:t xml:space="preserve"> Hodge (2009)</w:t>
      </w:r>
      <w:r w:rsidR="003B559A">
        <w:rPr>
          <w:rFonts w:ascii="Arial" w:hAnsi="Arial" w:cs="Arial"/>
        </w:rPr>
        <w:t xml:space="preserve"> informa que</w:t>
      </w:r>
      <w:r w:rsidR="00FC0886">
        <w:rPr>
          <w:rFonts w:ascii="Arial" w:hAnsi="Arial" w:cs="Arial"/>
        </w:rPr>
        <w:t xml:space="preserve"> Matisse é um dos artistas mais influentes e reconhecidos do século XX.</w:t>
      </w:r>
    </w:p>
    <w:p w:rsidR="00E6078D" w:rsidRPr="00E6078D" w:rsidRDefault="00E6078D" w:rsidP="00547583">
      <w:pPr>
        <w:jc w:val="both"/>
        <w:rPr>
          <w:rFonts w:ascii="Arial" w:hAnsi="Arial" w:cs="Arial"/>
          <w:lang w:eastAsia="ja-JP"/>
        </w:rPr>
      </w:pPr>
      <w:r>
        <w:rPr>
          <w:rFonts w:ascii="Arial" w:hAnsi="Arial" w:cs="Arial"/>
        </w:rPr>
        <w:tab/>
        <w:t>Segundo Artvalue (2018), Henri Matisse foi o 9</w:t>
      </w:r>
      <w:r>
        <w:rPr>
          <w:rFonts w:ascii="Arial" w:hAnsi="Arial" w:cs="Arial"/>
          <w:lang w:eastAsia="ja-JP"/>
        </w:rPr>
        <w:t xml:space="preserve">º artista em volume de negócios em 2018, com um total de vendas de U$ </w:t>
      </w:r>
      <w:r w:rsidR="00133CC5">
        <w:rPr>
          <w:rFonts w:ascii="Arial" w:hAnsi="Arial" w:cs="Arial"/>
          <w:lang w:eastAsia="ja-JP"/>
        </w:rPr>
        <w:t>154.</w:t>
      </w:r>
      <w:r>
        <w:rPr>
          <w:rFonts w:ascii="Arial" w:hAnsi="Arial" w:cs="Arial"/>
          <w:lang w:eastAsia="ja-JP"/>
        </w:rPr>
        <w:t>137</w:t>
      </w:r>
      <w:r w:rsidR="00133CC5">
        <w:rPr>
          <w:rFonts w:ascii="Arial" w:hAnsi="Arial" w:cs="Arial"/>
          <w:lang w:eastAsia="ja-JP"/>
        </w:rPr>
        <w:t>.</w:t>
      </w:r>
      <w:r>
        <w:rPr>
          <w:rFonts w:ascii="Arial" w:hAnsi="Arial" w:cs="Arial"/>
          <w:lang w:eastAsia="ja-JP"/>
        </w:rPr>
        <w:t>127,00, tendo vendido 494 lotes no período.</w:t>
      </w:r>
    </w:p>
    <w:p w:rsidR="008F6AC9" w:rsidRPr="00337489" w:rsidRDefault="008F6AC9" w:rsidP="00547583">
      <w:pPr>
        <w:jc w:val="both"/>
        <w:rPr>
          <w:rFonts w:ascii="Arial" w:hAnsi="Arial" w:cs="Arial"/>
        </w:rPr>
      </w:pPr>
      <w:r>
        <w:rPr>
          <w:rFonts w:ascii="Arial" w:hAnsi="Arial" w:cs="Arial"/>
        </w:rPr>
        <w:tab/>
        <w:t>Este artigo está dividido em 6 capítulos. O primeiro é esta introdução. O segundo discute os estudos realizados, ao longo do tempo, sobre rentabilidade no mercado de artes. O terceiro apresenta a metodologia adotada. O quarto informa os dados e o desenvolvimento. O quinto apresenta os resultados. O sexto apresenta as conclusões do estudo.</w:t>
      </w:r>
      <w:r w:rsidR="00E6078D">
        <w:rPr>
          <w:rFonts w:ascii="Arial" w:hAnsi="Arial" w:cs="Arial"/>
        </w:rPr>
        <w:t xml:space="preserve"> Na sequência, apresentamos a bibliografia consultada na elaboração deste trabalho.</w:t>
      </w:r>
    </w:p>
    <w:p w:rsidR="00547583" w:rsidRDefault="00547583" w:rsidP="00547583">
      <w:pPr>
        <w:jc w:val="both"/>
        <w:rPr>
          <w:rFonts w:ascii="Arial" w:hAnsi="Arial" w:cs="Arial"/>
        </w:rPr>
      </w:pPr>
    </w:p>
    <w:p w:rsidR="00626DE6" w:rsidRDefault="00626DE6" w:rsidP="00547583">
      <w:pPr>
        <w:jc w:val="both"/>
        <w:rPr>
          <w:rFonts w:ascii="Arial" w:hAnsi="Arial" w:cs="Arial"/>
        </w:rPr>
      </w:pPr>
    </w:p>
    <w:p w:rsidR="00626DE6" w:rsidRPr="00547583" w:rsidRDefault="00626DE6" w:rsidP="00547583">
      <w:pPr>
        <w:jc w:val="both"/>
        <w:rPr>
          <w:rFonts w:ascii="Arial" w:hAnsi="Arial" w:cs="Arial"/>
        </w:rPr>
      </w:pPr>
    </w:p>
    <w:p w:rsidR="00547583" w:rsidRDefault="00547583" w:rsidP="00547583">
      <w:pPr>
        <w:jc w:val="both"/>
        <w:rPr>
          <w:rFonts w:ascii="Arial" w:hAnsi="Arial" w:cs="Arial"/>
          <w:b/>
        </w:rPr>
      </w:pPr>
      <w:r w:rsidRPr="00547583">
        <w:rPr>
          <w:rFonts w:ascii="Arial" w:hAnsi="Arial" w:cs="Arial"/>
          <w:b/>
        </w:rPr>
        <w:lastRenderedPageBreak/>
        <w:t xml:space="preserve">2. </w:t>
      </w:r>
      <w:r w:rsidR="00DC5B46">
        <w:rPr>
          <w:rFonts w:ascii="Arial" w:hAnsi="Arial" w:cs="Arial"/>
          <w:b/>
        </w:rPr>
        <w:t>RENTABILIDADE NO MERCADO DE ARTE</w:t>
      </w:r>
    </w:p>
    <w:p w:rsidR="00317CAB" w:rsidRDefault="00317CAB" w:rsidP="00547583">
      <w:pPr>
        <w:jc w:val="both"/>
        <w:rPr>
          <w:rFonts w:ascii="Arial" w:hAnsi="Arial" w:cs="Arial"/>
          <w:b/>
        </w:rPr>
      </w:pPr>
    </w:p>
    <w:p w:rsidR="00FF225A" w:rsidRDefault="00E37BCE" w:rsidP="00DC5B46">
      <w:pPr>
        <w:jc w:val="both"/>
        <w:rPr>
          <w:rFonts w:ascii="Arial" w:hAnsi="Arial" w:cs="Arial"/>
        </w:rPr>
      </w:pPr>
      <w:r>
        <w:rPr>
          <w:rFonts w:ascii="Arial" w:hAnsi="Arial" w:cs="Arial"/>
        </w:rPr>
        <w:tab/>
      </w:r>
      <w:r w:rsidR="005C056D">
        <w:rPr>
          <w:rFonts w:ascii="Arial" w:hAnsi="Arial" w:cs="Arial"/>
        </w:rPr>
        <w:t>Obras de arte usualmente possuem baixo valor intrínseco, pois o custo dos materiais para sua produç</w:t>
      </w:r>
      <w:r w:rsidR="00F02BFE">
        <w:rPr>
          <w:rFonts w:ascii="Arial" w:hAnsi="Arial" w:cs="Arial"/>
        </w:rPr>
        <w:t xml:space="preserve">ão </w:t>
      </w:r>
      <w:r w:rsidR="00133CC5">
        <w:rPr>
          <w:rFonts w:ascii="Arial" w:hAnsi="Arial" w:cs="Arial"/>
        </w:rPr>
        <w:t>é relativamente baixo</w:t>
      </w:r>
      <w:r w:rsidR="005C056D">
        <w:rPr>
          <w:rFonts w:ascii="Arial" w:hAnsi="Arial" w:cs="Arial"/>
        </w:rPr>
        <w:t xml:space="preserve">, com algumas exceções, como é o caso da escultura </w:t>
      </w:r>
      <w:r w:rsidR="005C056D">
        <w:rPr>
          <w:rFonts w:ascii="Arial" w:hAnsi="Arial" w:cs="Arial"/>
          <w:i/>
        </w:rPr>
        <w:t xml:space="preserve">For </w:t>
      </w:r>
      <w:r w:rsidR="00F912E7">
        <w:rPr>
          <w:rFonts w:ascii="Arial" w:hAnsi="Arial" w:cs="Arial"/>
          <w:i/>
        </w:rPr>
        <w:t>t</w:t>
      </w:r>
      <w:r w:rsidR="005C056D">
        <w:rPr>
          <w:rFonts w:ascii="Arial" w:hAnsi="Arial" w:cs="Arial"/>
          <w:i/>
        </w:rPr>
        <w:t xml:space="preserve">he </w:t>
      </w:r>
      <w:r w:rsidR="00F912E7">
        <w:rPr>
          <w:rFonts w:ascii="Arial" w:hAnsi="Arial" w:cs="Arial"/>
          <w:i/>
        </w:rPr>
        <w:t>L</w:t>
      </w:r>
      <w:r w:rsidR="005C056D">
        <w:rPr>
          <w:rFonts w:ascii="Arial" w:hAnsi="Arial" w:cs="Arial"/>
          <w:i/>
        </w:rPr>
        <w:t xml:space="preserve">ove of </w:t>
      </w:r>
      <w:r w:rsidR="00F912E7">
        <w:rPr>
          <w:rFonts w:ascii="Arial" w:hAnsi="Arial" w:cs="Arial"/>
          <w:i/>
        </w:rPr>
        <w:t>G</w:t>
      </w:r>
      <w:r w:rsidR="005C056D">
        <w:rPr>
          <w:rFonts w:ascii="Arial" w:hAnsi="Arial" w:cs="Arial"/>
          <w:i/>
        </w:rPr>
        <w:t>od</w:t>
      </w:r>
      <w:r w:rsidR="005C056D">
        <w:rPr>
          <w:rFonts w:ascii="Arial" w:hAnsi="Arial" w:cs="Arial"/>
        </w:rPr>
        <w:t>, de Damien Hirst, que é um cr</w:t>
      </w:r>
      <w:r w:rsidR="00B201FF">
        <w:rPr>
          <w:rFonts w:ascii="Arial" w:hAnsi="Arial" w:cs="Arial"/>
        </w:rPr>
        <w:t>ânio humano</w:t>
      </w:r>
      <w:r w:rsidR="005C056D">
        <w:rPr>
          <w:rFonts w:ascii="Arial" w:hAnsi="Arial" w:cs="Arial"/>
        </w:rPr>
        <w:t xml:space="preserve"> fundido em platina, cravejado de diamantes, vendida em 2007 por U$ 100 milhões.</w:t>
      </w:r>
    </w:p>
    <w:p w:rsidR="005C056D" w:rsidRDefault="005C056D" w:rsidP="00DC5B46">
      <w:pPr>
        <w:jc w:val="both"/>
        <w:rPr>
          <w:rFonts w:ascii="Arial" w:hAnsi="Arial" w:cs="Arial"/>
        </w:rPr>
      </w:pPr>
      <w:r>
        <w:rPr>
          <w:rFonts w:ascii="Arial" w:hAnsi="Arial" w:cs="Arial"/>
        </w:rPr>
        <w:tab/>
        <w:t xml:space="preserve">Portanto, são as características extrínsecas de uma obra de arte que lhe conferem valor. Na verdade, são as percepções a estas características pelo público apreciador e comprador de arte que determinam o valor que uma obra de arte pode </w:t>
      </w:r>
      <w:r w:rsidR="003B559A">
        <w:rPr>
          <w:rFonts w:ascii="Arial" w:hAnsi="Arial" w:cs="Arial"/>
        </w:rPr>
        <w:t>atingir</w:t>
      </w:r>
      <w:r>
        <w:rPr>
          <w:rFonts w:ascii="Arial" w:hAnsi="Arial" w:cs="Arial"/>
        </w:rPr>
        <w:t>. E é razoável supor que a percepção às características de uma obra de arte possa mudar ao longo do tempo. Imaginemos</w:t>
      </w:r>
      <w:r w:rsidR="00965954">
        <w:rPr>
          <w:rFonts w:ascii="Arial" w:hAnsi="Arial" w:cs="Arial"/>
        </w:rPr>
        <w:t xml:space="preserve"> qual o preço</w:t>
      </w:r>
      <w:r>
        <w:rPr>
          <w:rFonts w:ascii="Arial" w:hAnsi="Arial" w:cs="Arial"/>
        </w:rPr>
        <w:t xml:space="preserve">, por exemplo, </w:t>
      </w:r>
      <w:r w:rsidR="000013B6">
        <w:rPr>
          <w:rFonts w:ascii="Arial" w:hAnsi="Arial" w:cs="Arial"/>
        </w:rPr>
        <w:t xml:space="preserve">que </w:t>
      </w:r>
      <w:r>
        <w:rPr>
          <w:rFonts w:ascii="Arial" w:hAnsi="Arial" w:cs="Arial"/>
        </w:rPr>
        <w:t xml:space="preserve">a obra </w:t>
      </w:r>
      <w:r>
        <w:rPr>
          <w:rFonts w:ascii="Arial" w:hAnsi="Arial" w:cs="Arial"/>
          <w:i/>
        </w:rPr>
        <w:t xml:space="preserve">The </w:t>
      </w:r>
      <w:r w:rsidR="00F912E7">
        <w:rPr>
          <w:rFonts w:ascii="Arial" w:hAnsi="Arial" w:cs="Arial"/>
          <w:i/>
        </w:rPr>
        <w:t>K</w:t>
      </w:r>
      <w:r>
        <w:rPr>
          <w:rFonts w:ascii="Arial" w:hAnsi="Arial" w:cs="Arial"/>
          <w:i/>
        </w:rPr>
        <w:t>ingdon</w:t>
      </w:r>
      <w:r>
        <w:rPr>
          <w:rFonts w:ascii="Arial" w:hAnsi="Arial" w:cs="Arial"/>
        </w:rPr>
        <w:t xml:space="preserve">, do mesmo Damien Hirst, vendida em 2018 por mais de U$ 17 milhões, e que se trata </w:t>
      </w:r>
      <w:r w:rsidR="00965954">
        <w:rPr>
          <w:rFonts w:ascii="Arial" w:hAnsi="Arial" w:cs="Arial"/>
        </w:rPr>
        <w:t>de um aquário contendo um tubarão tigre conservado em formaldeído, atingiria em meados do século XIX, antes do início da arte moderna.</w:t>
      </w:r>
    </w:p>
    <w:p w:rsidR="00965954" w:rsidRDefault="00965954" w:rsidP="00DC5B46">
      <w:pPr>
        <w:jc w:val="both"/>
        <w:rPr>
          <w:rFonts w:ascii="Arial" w:hAnsi="Arial" w:cs="Arial"/>
        </w:rPr>
      </w:pPr>
      <w:r>
        <w:rPr>
          <w:rFonts w:ascii="Arial" w:hAnsi="Arial" w:cs="Arial"/>
        </w:rPr>
        <w:tab/>
      </w:r>
      <w:r w:rsidR="00F02BFE">
        <w:rPr>
          <w:rFonts w:ascii="Arial" w:hAnsi="Arial" w:cs="Arial"/>
        </w:rPr>
        <w:t>A</w:t>
      </w:r>
      <w:r>
        <w:rPr>
          <w:rFonts w:ascii="Arial" w:hAnsi="Arial" w:cs="Arial"/>
        </w:rPr>
        <w:t>presentamos aqui diversos estudos sobre rentabilidade no mercado de artes, mas é importante observar que a percepção sobre qualidade da obra pode ser mutável ao longo do tempo, da mesma forma que os preços.</w:t>
      </w:r>
    </w:p>
    <w:p w:rsidR="00965954" w:rsidRDefault="00965954" w:rsidP="00DC5B46">
      <w:pPr>
        <w:jc w:val="both"/>
        <w:rPr>
          <w:rFonts w:ascii="Arial" w:hAnsi="Arial" w:cs="Arial"/>
        </w:rPr>
      </w:pPr>
      <w:r>
        <w:rPr>
          <w:rFonts w:ascii="Arial" w:hAnsi="Arial" w:cs="Arial"/>
        </w:rPr>
        <w:tab/>
      </w:r>
      <w:r w:rsidR="003E7772">
        <w:rPr>
          <w:rFonts w:ascii="Arial" w:hAnsi="Arial" w:cs="Arial"/>
        </w:rPr>
        <w:t>Anderson (1974</w:t>
      </w:r>
      <w:r>
        <w:rPr>
          <w:rFonts w:ascii="Arial" w:hAnsi="Arial" w:cs="Arial"/>
        </w:rPr>
        <w:t>) foi o primeiro autor a analisar o retorno de obras de arte. Usando dados de leilões de pintores em geral, entre 1</w:t>
      </w:r>
      <w:r w:rsidR="003E7772">
        <w:rPr>
          <w:rFonts w:ascii="Arial" w:hAnsi="Arial" w:cs="Arial"/>
        </w:rPr>
        <w:t>780</w:t>
      </w:r>
      <w:r>
        <w:rPr>
          <w:rFonts w:ascii="Arial" w:hAnsi="Arial" w:cs="Arial"/>
        </w:rPr>
        <w:t xml:space="preserve"> e 1970</w:t>
      </w:r>
      <w:r w:rsidR="003E7772">
        <w:rPr>
          <w:rFonts w:ascii="Arial" w:hAnsi="Arial" w:cs="Arial"/>
        </w:rPr>
        <w:t>, concluiu que a rentabilidade nominal no período foi de 3,3% ao ano. Ele indicou que vendas mais recentes podem apresentar melhores rentabilidades, mas ressaltou que há grandes diferenças entre artistas e movimentos.</w:t>
      </w:r>
    </w:p>
    <w:p w:rsidR="003E7772" w:rsidRDefault="003E7772" w:rsidP="00DC5B46">
      <w:pPr>
        <w:jc w:val="both"/>
        <w:rPr>
          <w:rFonts w:ascii="Arial" w:hAnsi="Arial" w:cs="Arial"/>
        </w:rPr>
      </w:pPr>
      <w:r>
        <w:rPr>
          <w:rFonts w:ascii="Arial" w:hAnsi="Arial" w:cs="Arial"/>
        </w:rPr>
        <w:tab/>
        <w:t>O trabalho mais citado</w:t>
      </w:r>
      <w:r w:rsidR="003B559A">
        <w:rPr>
          <w:rFonts w:ascii="Arial" w:hAnsi="Arial" w:cs="Arial"/>
        </w:rPr>
        <w:t>, provavelmente,</w:t>
      </w:r>
      <w:r>
        <w:rPr>
          <w:rFonts w:ascii="Arial" w:hAnsi="Arial" w:cs="Arial"/>
        </w:rPr>
        <w:t xml:space="preserve"> é Baumol (1986), o qual, utilizando médias simples de retorno entre obras de arte vendidas ao menos duas vezes, no período entre 1652 e 1961,</w:t>
      </w:r>
      <w:r w:rsidR="003B559A">
        <w:rPr>
          <w:rFonts w:ascii="Arial" w:hAnsi="Arial" w:cs="Arial"/>
        </w:rPr>
        <w:t xml:space="preserve"> com um intervalo mínimo de 20 anos entre cada venda,</w:t>
      </w:r>
      <w:r>
        <w:rPr>
          <w:rFonts w:ascii="Arial" w:hAnsi="Arial" w:cs="Arial"/>
        </w:rPr>
        <w:t xml:space="preserve"> conclui que não é possível determinar o preço de equilíbrio de uma obra de arte, e que neste período a rentabilidade média, em termos reais, foi de 0,55% ao ano.</w:t>
      </w:r>
      <w:r w:rsidR="007A0CAE">
        <w:rPr>
          <w:rFonts w:ascii="Arial" w:hAnsi="Arial" w:cs="Arial"/>
        </w:rPr>
        <w:t xml:space="preserve"> Ele utilizou, em seu estudo, dados oriundos de leilões catalogados por Reitlinger (1961).</w:t>
      </w:r>
    </w:p>
    <w:p w:rsidR="001D7A8D" w:rsidRDefault="001D7A8D" w:rsidP="00DC5B46">
      <w:pPr>
        <w:jc w:val="both"/>
        <w:rPr>
          <w:rFonts w:ascii="Arial" w:hAnsi="Arial" w:cs="Arial"/>
        </w:rPr>
      </w:pPr>
      <w:r>
        <w:rPr>
          <w:rFonts w:ascii="Arial" w:hAnsi="Arial" w:cs="Arial"/>
        </w:rPr>
        <w:tab/>
        <w:t>Frey e Pommerehne (1989) analisaram 1.198 pares de vendas entre 1635 e 1987, de diversos pintores, e usando a média simples dos retornos calculados, concluíram por uma rentabilidade média real de 1,5% ao ano.</w:t>
      </w:r>
    </w:p>
    <w:p w:rsidR="003214B2" w:rsidRDefault="003214B2" w:rsidP="00DC5B46">
      <w:pPr>
        <w:jc w:val="both"/>
        <w:rPr>
          <w:rFonts w:ascii="Arial" w:hAnsi="Arial" w:cs="Arial"/>
        </w:rPr>
      </w:pPr>
      <w:r>
        <w:rPr>
          <w:rFonts w:ascii="Arial" w:hAnsi="Arial" w:cs="Arial"/>
        </w:rPr>
        <w:tab/>
        <w:t>Buelens e Ginsburgh (1993)</w:t>
      </w:r>
      <w:r w:rsidR="00F25938">
        <w:rPr>
          <w:rFonts w:ascii="Arial" w:hAnsi="Arial" w:cs="Arial"/>
        </w:rPr>
        <w:t>, reanalisando o mesmo banco de dados utilizado por Baumol, mas usando a abordagem da Regressão por Preços Hedônicos, chegaram a uma rentabilidade anual de 0,65%. Eles também estratificaram a amostra por períodos, chegando a elevados valores de retorno entre 1950 e 1961.</w:t>
      </w:r>
    </w:p>
    <w:p w:rsidR="007A0CAE" w:rsidRDefault="007A0CAE" w:rsidP="00DC5B46">
      <w:pPr>
        <w:jc w:val="both"/>
        <w:rPr>
          <w:rFonts w:ascii="Arial" w:hAnsi="Arial" w:cs="Arial"/>
        </w:rPr>
      </w:pPr>
      <w:r>
        <w:rPr>
          <w:rFonts w:ascii="Arial" w:hAnsi="Arial" w:cs="Arial"/>
        </w:rPr>
        <w:tab/>
        <w:t xml:space="preserve">Goetzman (1993) analisou diversos pintores no período entre 1716 e 1986 e, utilizando a técnica de Regressão por Vendas Repetidas, construiu um índice de preços, concluindo por </w:t>
      </w:r>
      <w:r w:rsidR="003214B2">
        <w:rPr>
          <w:rFonts w:ascii="Arial" w:hAnsi="Arial" w:cs="Arial"/>
        </w:rPr>
        <w:t>uma rentabilidade anual real de 2%.</w:t>
      </w:r>
    </w:p>
    <w:p w:rsidR="003214B2" w:rsidRDefault="003214B2" w:rsidP="00DC5B46">
      <w:pPr>
        <w:jc w:val="both"/>
        <w:rPr>
          <w:rFonts w:ascii="Arial" w:hAnsi="Arial" w:cs="Arial"/>
        </w:rPr>
      </w:pPr>
      <w:r>
        <w:rPr>
          <w:rFonts w:ascii="Arial" w:hAnsi="Arial" w:cs="Arial"/>
        </w:rPr>
        <w:tab/>
        <w:t>Pesando (1993) estudou valores de venda de leilões para grav</w:t>
      </w:r>
      <w:r w:rsidR="00E8030A">
        <w:rPr>
          <w:rFonts w:ascii="Arial" w:hAnsi="Arial" w:cs="Arial"/>
        </w:rPr>
        <w:t>uras no período entre 1977 e 199</w:t>
      </w:r>
      <w:r>
        <w:rPr>
          <w:rFonts w:ascii="Arial" w:hAnsi="Arial" w:cs="Arial"/>
        </w:rPr>
        <w:t>2. Ele utilizou a Regressão por Vendas Repetidas para estimar um índice de preços semestral no período estudado, bem</w:t>
      </w:r>
      <w:r w:rsidR="00935CA3">
        <w:rPr>
          <w:rFonts w:ascii="Arial" w:hAnsi="Arial" w:cs="Arial"/>
        </w:rPr>
        <w:t xml:space="preserve"> como</w:t>
      </w:r>
      <w:r>
        <w:rPr>
          <w:rFonts w:ascii="Arial" w:hAnsi="Arial" w:cs="Arial"/>
        </w:rPr>
        <w:t xml:space="preserve"> para concluir por uma rentabilidade, para as referidas gravuras, de 1,5% ao ano, em termos reais.</w:t>
      </w:r>
    </w:p>
    <w:p w:rsidR="003D2452" w:rsidRDefault="003D2452" w:rsidP="00DC5B46">
      <w:pPr>
        <w:jc w:val="both"/>
        <w:rPr>
          <w:rFonts w:ascii="Arial" w:hAnsi="Arial" w:cs="Arial"/>
        </w:rPr>
      </w:pPr>
      <w:r>
        <w:rPr>
          <w:rFonts w:ascii="Arial" w:hAnsi="Arial" w:cs="Arial"/>
        </w:rPr>
        <w:tab/>
        <w:t>Chanel, Gerard-Varet e Ginsburgh (1994) analisaram um banco de dados com 24.000 resultados de leilões para 32 pintores, entre os anos de 1960 e 1988, construindo um índice de mercado adotando o método da Regressão por Preços Hedônicos, concluindo por uma rentabilidade real anual de 6,7%.</w:t>
      </w:r>
    </w:p>
    <w:p w:rsidR="00FD0AE7" w:rsidRDefault="00FD0AE7" w:rsidP="00DC5B46">
      <w:pPr>
        <w:jc w:val="both"/>
        <w:rPr>
          <w:rFonts w:ascii="Arial" w:hAnsi="Arial" w:cs="Arial"/>
        </w:rPr>
      </w:pPr>
      <w:r>
        <w:rPr>
          <w:rFonts w:ascii="Arial" w:hAnsi="Arial" w:cs="Arial"/>
        </w:rPr>
        <w:tab/>
        <w:t xml:space="preserve">Chanel, Gerard-Varet e Ginsburgh (1996), em um novo estudo, analisam 1.900 vendas, entre 1855 e 1970, oriundas de 46 artistas. Usando a Regressão por Preços </w:t>
      </w:r>
      <w:r>
        <w:rPr>
          <w:rFonts w:ascii="Arial" w:hAnsi="Arial" w:cs="Arial"/>
        </w:rPr>
        <w:lastRenderedPageBreak/>
        <w:t>Hedônicos, concluem por uma rentabilidade real de 4,9%. Também fazem uma análise por média geométrica por vendas repetidas, no qual concluem por uma rentabilidade, para a mesma amostra, de 5%. Concluem que a Regressão por Vendas Repetidas é um caso particular da Regressão por Preços Hedônicos.</w:t>
      </w:r>
    </w:p>
    <w:p w:rsidR="007975ED" w:rsidRDefault="007975ED" w:rsidP="00DC5B46">
      <w:pPr>
        <w:jc w:val="both"/>
        <w:rPr>
          <w:rFonts w:ascii="Arial" w:hAnsi="Arial" w:cs="Arial"/>
        </w:rPr>
      </w:pPr>
      <w:r>
        <w:rPr>
          <w:rFonts w:ascii="Arial" w:hAnsi="Arial" w:cs="Arial"/>
        </w:rPr>
        <w:tab/>
        <w:t>Pompe (1996) analisa vendas em leilão de 37.400 fotografias, no período entre 1980 e 1992, de 25 fotógrafos. Ele usa a média aritmética de vendas repetidas e conclui por rentabilidade global, do conjunto de fotógrafos estudados, de 10,1% ao ano, em termo</w:t>
      </w:r>
      <w:r w:rsidR="003B559A">
        <w:rPr>
          <w:rFonts w:ascii="Arial" w:hAnsi="Arial" w:cs="Arial"/>
        </w:rPr>
        <w:t>s</w:t>
      </w:r>
      <w:r>
        <w:rPr>
          <w:rFonts w:ascii="Arial" w:hAnsi="Arial" w:cs="Arial"/>
        </w:rPr>
        <w:t xml:space="preserve"> reais.</w:t>
      </w:r>
    </w:p>
    <w:p w:rsidR="0075052C" w:rsidRDefault="0075052C" w:rsidP="00DC5B46">
      <w:pPr>
        <w:jc w:val="both"/>
        <w:rPr>
          <w:rFonts w:ascii="Arial" w:hAnsi="Arial" w:cs="Arial"/>
        </w:rPr>
      </w:pPr>
      <w:r>
        <w:rPr>
          <w:rFonts w:ascii="Arial" w:hAnsi="Arial" w:cs="Arial"/>
        </w:rPr>
        <w:tab/>
        <w:t xml:space="preserve">Mei e Moses (2002) lançam mão do método da Regressão por Vendas Repetidas para construir um índice anual para obras de arte, determinar a rentabilidade em diversos períodos e correlacionar o retorno de obras de arte com o retorno de diversos investimentos alternativos. Foram utilizados 4.896 pares de negociações em leilões, entre 1875 e 2000. Eles concluem por um retorno médio anual, real, no período estudado, de 4,9%. O artigo indica também que portfólios com obras de arte são interessantes na diversificação de investimentos, bem como que as obras mais importantes podem apresentar performance, em termos de rendimento, abaixo da média. </w:t>
      </w:r>
      <w:r w:rsidR="00B16CE8">
        <w:rPr>
          <w:rFonts w:ascii="Arial" w:hAnsi="Arial" w:cs="Arial"/>
        </w:rPr>
        <w:t>Por fim, o artig</w:t>
      </w:r>
      <w:r w:rsidR="007D584F">
        <w:rPr>
          <w:rFonts w:ascii="Arial" w:hAnsi="Arial" w:cs="Arial"/>
        </w:rPr>
        <w:t>o conclui que obras de arte tem pequena correlação com outros investimentos, tais como o índice de ações Standar &amp; Poors 500.</w:t>
      </w:r>
    </w:p>
    <w:p w:rsidR="00DA7B1C" w:rsidRDefault="00DA7B1C" w:rsidP="00DC5B46">
      <w:pPr>
        <w:jc w:val="both"/>
        <w:rPr>
          <w:rFonts w:ascii="Arial" w:hAnsi="Arial" w:cs="Arial"/>
        </w:rPr>
      </w:pPr>
      <w:r>
        <w:rPr>
          <w:rFonts w:ascii="Arial" w:hAnsi="Arial" w:cs="Arial"/>
        </w:rPr>
        <w:tab/>
        <w:t>Locatelli-Biey e Zanola (2002) analisaram 27.000 vendas de esculturas em leilões, entre 1987 e 1995. Através do uso da Regressão por Preços Hedônicos, construíram um índice de preços para esculturas e concluíram por uma rentabilidade anual real de -1,65%.</w:t>
      </w:r>
    </w:p>
    <w:p w:rsidR="00D95E85" w:rsidRDefault="00D95E85" w:rsidP="00DC5B46">
      <w:pPr>
        <w:jc w:val="both"/>
        <w:rPr>
          <w:rFonts w:ascii="Arial" w:hAnsi="Arial" w:cs="Arial"/>
        </w:rPr>
      </w:pPr>
      <w:r>
        <w:rPr>
          <w:rFonts w:ascii="Arial" w:hAnsi="Arial" w:cs="Arial"/>
        </w:rPr>
        <w:tab/>
        <w:t>Candela, G., Figini, P. e Scorcu (2004) analisaram 330.000 vendas em leilões para construir diversos índices, por artista, por movimento e geral, analisando o valor médio vendido por artistas por ano. Para o índice geral, considerando o período entre 1990 e 2001, chegam a uma rentabilidade</w:t>
      </w:r>
      <w:r w:rsidR="00CC4D9B">
        <w:rPr>
          <w:rFonts w:ascii="Arial" w:hAnsi="Arial" w:cs="Arial"/>
        </w:rPr>
        <w:t xml:space="preserve"> de</w:t>
      </w:r>
      <w:r>
        <w:rPr>
          <w:rFonts w:ascii="Arial" w:hAnsi="Arial" w:cs="Arial"/>
        </w:rPr>
        <w:t xml:space="preserve"> 1,67% ao ano, em termos reais.</w:t>
      </w:r>
    </w:p>
    <w:p w:rsidR="009C7ADD" w:rsidRDefault="009C7ADD" w:rsidP="00DC5B46">
      <w:pPr>
        <w:jc w:val="both"/>
        <w:rPr>
          <w:rFonts w:ascii="Arial" w:hAnsi="Arial" w:cs="Arial"/>
        </w:rPr>
      </w:pPr>
      <w:r>
        <w:rPr>
          <w:rFonts w:ascii="Arial" w:hAnsi="Arial" w:cs="Arial"/>
        </w:rPr>
        <w:tab/>
        <w:t>Higgs e Worthington (2005) construíram um índice de preços para pinturas australianas, analisando resultados de leilões de 60 pintores, em 37.605 obras leiloadas</w:t>
      </w:r>
      <w:r w:rsidR="001F6F8F">
        <w:rPr>
          <w:rFonts w:ascii="Arial" w:hAnsi="Arial" w:cs="Arial"/>
        </w:rPr>
        <w:t xml:space="preserve"> entre 1973 e 2003, utilizando a</w:t>
      </w:r>
      <w:r>
        <w:rPr>
          <w:rFonts w:ascii="Arial" w:hAnsi="Arial" w:cs="Arial"/>
        </w:rPr>
        <w:t xml:space="preserve"> Regressão por Preços Hedônicos. Concluem por uma rentabilidade anual real de 7,25%.</w:t>
      </w:r>
    </w:p>
    <w:p w:rsidR="009C7ADD" w:rsidRDefault="009C7ADD" w:rsidP="00DC5B46">
      <w:pPr>
        <w:jc w:val="both"/>
        <w:rPr>
          <w:rFonts w:ascii="Arial" w:hAnsi="Arial" w:cs="Arial"/>
        </w:rPr>
      </w:pPr>
      <w:r>
        <w:rPr>
          <w:rFonts w:ascii="Arial" w:hAnsi="Arial" w:cs="Arial"/>
        </w:rPr>
        <w:tab/>
        <w:t xml:space="preserve">Kräsul e Schlellart (2007) fizeram uma análise de Regressão por Preços Hedônicos, de modo a determinar a rentabilidade e construir um uma coleção eficiente, no sentido de Markowitz, usando dados de 1.688 leilões, relativos aos 23 principais pintores alemães, entre 1986 e 2006. O resultado final mostrou que </w:t>
      </w:r>
      <w:r w:rsidR="00993A9C">
        <w:rPr>
          <w:rFonts w:ascii="Arial" w:hAnsi="Arial" w:cs="Arial"/>
        </w:rPr>
        <w:t>a rentabilidade real anual foi de -0,5%.</w:t>
      </w:r>
    </w:p>
    <w:p w:rsidR="002671C8" w:rsidRDefault="002671C8" w:rsidP="00DC5B46">
      <w:pPr>
        <w:jc w:val="both"/>
        <w:rPr>
          <w:rFonts w:ascii="Arial" w:hAnsi="Arial" w:cs="Arial"/>
        </w:rPr>
      </w:pPr>
      <w:r>
        <w:rPr>
          <w:rFonts w:ascii="Arial" w:hAnsi="Arial" w:cs="Arial"/>
        </w:rPr>
        <w:tab/>
        <w:t>Pesando e Shum (2007) analisaram o desempenho de gravuras usando a Regressão por Vendas Repetidas, concentrando no desempenho de Pablo Picasso e comparando com o desempenho de gravuras de outros artistas. Para um conjunto de artistas modernos, sem as obras de Picasso, a rentabilidade anual das gravuras, em termos reais, foi de 1,19%. Para gravuras de Picasso, a rentabilidade foi de 2,91%, e para um conjunto específico de gravuras deste, denominado Suite Vollard, a rentabilidade chegou a 3,93%.</w:t>
      </w:r>
    </w:p>
    <w:p w:rsidR="00A20921" w:rsidRDefault="00A20921" w:rsidP="00DC5B46">
      <w:pPr>
        <w:jc w:val="both"/>
        <w:rPr>
          <w:rFonts w:ascii="Arial" w:hAnsi="Arial" w:cs="Arial"/>
        </w:rPr>
      </w:pPr>
      <w:r>
        <w:rPr>
          <w:rFonts w:ascii="Arial" w:hAnsi="Arial" w:cs="Arial"/>
        </w:rPr>
        <w:tab/>
        <w:t xml:space="preserve">Goetzman, Renneboog e </w:t>
      </w:r>
      <w:r w:rsidR="00C61C4E">
        <w:rPr>
          <w:rFonts w:ascii="Arial" w:hAnsi="Arial" w:cs="Arial"/>
        </w:rPr>
        <w:t>Spaenjers (2011</w:t>
      </w:r>
      <w:r>
        <w:rPr>
          <w:rFonts w:ascii="Arial" w:hAnsi="Arial" w:cs="Arial"/>
        </w:rPr>
        <w:t>) derivam um índice de preços para mercado de arte através da Regressão por Vendas Repetidas, usando dados de leilões ocorridos entre 1765 e 2007, totalizando 1.468 vendas repetidas. Eles chegam a uma rentabilidade anual real de 2,97%.</w:t>
      </w:r>
    </w:p>
    <w:p w:rsidR="00317AC7" w:rsidRDefault="00317AC7" w:rsidP="00DC5B46">
      <w:pPr>
        <w:jc w:val="both"/>
        <w:rPr>
          <w:rFonts w:ascii="Arial" w:hAnsi="Arial" w:cs="Arial"/>
        </w:rPr>
      </w:pPr>
      <w:r>
        <w:rPr>
          <w:rFonts w:ascii="Arial" w:hAnsi="Arial" w:cs="Arial"/>
        </w:rPr>
        <w:tab/>
        <w:t xml:space="preserve">Renneboog e Spaenjers (2013) analisaram cerca de 1.000.000 de leilões de pinturas, desenhos e aquarelas, entre 1957 e 2007, oriundos de 4.490 artistas, </w:t>
      </w:r>
      <w:r>
        <w:rPr>
          <w:rFonts w:ascii="Arial" w:hAnsi="Arial" w:cs="Arial"/>
        </w:rPr>
        <w:lastRenderedPageBreak/>
        <w:t>divididos nos seguinte movimentos: Medieval e Renascentismo, Barroco, Rococó, Neoclássico, Romântico, Realismo, Impressionismo e Simbolismo, Fauvismo e Expressionismo, Cubismo, Futurismo e Construtivismo, Dada e Surrealismo, Expressionismo Abstrato, Pop Art, Minimalismo e Contemporâneo. Os autores usam a Regressão por Preços Hedônicos, concluindo por uma rentabilidade geral para a amostra de 3,97% ao ano, em termo</w:t>
      </w:r>
      <w:r w:rsidR="00A737AE">
        <w:rPr>
          <w:rFonts w:ascii="Arial" w:hAnsi="Arial" w:cs="Arial"/>
        </w:rPr>
        <w:t>s</w:t>
      </w:r>
      <w:r>
        <w:rPr>
          <w:rFonts w:ascii="Arial" w:hAnsi="Arial" w:cs="Arial"/>
        </w:rPr>
        <w:t xml:space="preserve"> reais.</w:t>
      </w:r>
    </w:p>
    <w:p w:rsidR="00DC623C" w:rsidRDefault="00DC623C" w:rsidP="00DC5B46">
      <w:pPr>
        <w:jc w:val="both"/>
        <w:rPr>
          <w:rFonts w:ascii="Arial" w:hAnsi="Arial" w:cs="Arial"/>
        </w:rPr>
      </w:pPr>
      <w:r>
        <w:rPr>
          <w:rFonts w:ascii="Arial" w:hAnsi="Arial" w:cs="Arial"/>
        </w:rPr>
        <w:tab/>
        <w:t>Charlin e Cifuentes (2015) analisaram 9.195 transações, entre 1988 e 2014, de 13 artistas: Giorgio de Chirico, Joan Miró, Max Ernst, Rene Magritte, Roberto Matta, Alfred Sisley, Camille Pissaro, Claude Monet, Odilon Redon, Paul Gauguin, Paul Signac, Pierre-Auguste Renoir e Pablo Picasso, usando a Regressão por Preços Hedônicos. Eles concluem por uma rentabilidade 2,48%. Em sequência, usando técnicas de reamostragem por bootstrap, chegam a uma rentabilidade de 4,53%.</w:t>
      </w:r>
    </w:p>
    <w:p w:rsidR="009900FB" w:rsidRDefault="009900FB" w:rsidP="00DC5B46">
      <w:pPr>
        <w:jc w:val="both"/>
        <w:rPr>
          <w:rFonts w:ascii="Arial" w:hAnsi="Arial" w:cs="Arial"/>
        </w:rPr>
      </w:pPr>
      <w:r>
        <w:rPr>
          <w:rFonts w:ascii="Arial" w:hAnsi="Arial" w:cs="Arial"/>
        </w:rPr>
        <w:tab/>
      </w:r>
      <w:r w:rsidR="003A29F7">
        <w:rPr>
          <w:rFonts w:ascii="Arial" w:hAnsi="Arial" w:cs="Arial"/>
        </w:rPr>
        <w:t>Korteweg, Kräsul e Verwijmeren (2016) utilizam uma Regressão por Vendas Repetidas, com uma amostra</w:t>
      </w:r>
      <w:r w:rsidR="002D5159">
        <w:rPr>
          <w:rFonts w:ascii="Arial" w:hAnsi="Arial" w:cs="Arial"/>
        </w:rPr>
        <w:t xml:space="preserve"> 32.928 obras, tendo sido vendidas 69.103 vezes, no período entre 1960 e 2013, chegam a uma rentabilidade de 8,7%. A seguir, corrigem vieses através de estimação Bayesiana e simulação de Monte Carlo, concluindo por uma rentabilidade anual de 6,3%.</w:t>
      </w:r>
      <w:r w:rsidR="003A29F7">
        <w:rPr>
          <w:rFonts w:ascii="Arial" w:hAnsi="Arial" w:cs="Arial"/>
        </w:rPr>
        <w:t xml:space="preserve"> </w:t>
      </w:r>
    </w:p>
    <w:p w:rsidR="005E4770" w:rsidRDefault="005E4770" w:rsidP="00DC5B46">
      <w:pPr>
        <w:jc w:val="both"/>
        <w:rPr>
          <w:rFonts w:ascii="Arial" w:hAnsi="Arial" w:cs="Arial"/>
        </w:rPr>
      </w:pPr>
      <w:r>
        <w:rPr>
          <w:rFonts w:ascii="Arial" w:hAnsi="Arial" w:cs="Arial"/>
        </w:rPr>
        <w:tab/>
        <w:t>Oosterlinck (2016) analisou vendas realizadas no período de 1937 e 1945, ou seja, na segunda guerra mundial. Entre 1937 e 1945, a rentabilidade anual foi de 12,70%. Se fosse considerado o período entre 1937 e 1944, essa rentabilidade seria de 17,15%. Portanto, em tempos de guerra, a rentabilidade de obras de arte foi superior a todos os outros investimentos. O autor conclui que o mercado de artes é interessante do ponto de vista de hedge contra eventos extremos com baixa probabilidade de ocorrência.</w:t>
      </w:r>
    </w:p>
    <w:p w:rsidR="006C71B0" w:rsidRDefault="006C71B0" w:rsidP="00DC5B46">
      <w:pPr>
        <w:jc w:val="both"/>
        <w:rPr>
          <w:rFonts w:ascii="Arial" w:hAnsi="Arial" w:cs="Arial"/>
        </w:rPr>
      </w:pPr>
      <w:r>
        <w:rPr>
          <w:rFonts w:ascii="Arial" w:hAnsi="Arial" w:cs="Arial"/>
        </w:rPr>
        <w:tab/>
        <w:t xml:space="preserve">Bocart, Ghysels e </w:t>
      </w:r>
      <w:r w:rsidR="009900FB">
        <w:rPr>
          <w:rFonts w:ascii="Arial" w:hAnsi="Arial" w:cs="Arial"/>
        </w:rPr>
        <w:t>Hafner (2017</w:t>
      </w:r>
      <w:r>
        <w:rPr>
          <w:rFonts w:ascii="Arial" w:hAnsi="Arial" w:cs="Arial"/>
        </w:rPr>
        <w:t>) constroem 5 índices para o mercado de artes  - Índice Global de Arte, Índice para Arte Contemporânea, Índice para Arte do Pós Guerra, Índice para Arte Modernista e Índice para Arte Impressionista. Eles usam um modelo de Regressão por Vendas Repetidas correlacionado com uma cesta de ativos, em tese, correlacionados com arte, como ações de empresas de leilão (Sotheby’s e Christie’s), empresas correlatas a arte (Artprice) e empresas de bens de luxo (Dior, Moët Henessy Louis Vuitton). Com uma amostra de 3.059 múltiplas vendas, oriundas de 200 artistas, eles chegam a uma rentabilidade anual real de 4%. No entanto, para índices específicos, há bastante variação. Para arte contemporânea e arte pós guerra, a rentabilidade foi de 6%. Para o modernismo, a rentabilidade é de 2%, ao passo que para o impressionismo, esta rentabilidade é de 0%.</w:t>
      </w:r>
    </w:p>
    <w:p w:rsidR="0017751A" w:rsidRDefault="00845A11" w:rsidP="00DC5B46">
      <w:pPr>
        <w:jc w:val="both"/>
        <w:rPr>
          <w:rFonts w:ascii="Arial" w:hAnsi="Arial" w:cs="Arial"/>
        </w:rPr>
      </w:pPr>
      <w:r>
        <w:rPr>
          <w:rFonts w:ascii="Arial" w:hAnsi="Arial" w:cs="Arial"/>
        </w:rPr>
        <w:tab/>
        <w:t>Como pode ser visto, inúmeros trabalhos sobre rentabilidade de obras de arte foram feitos, com resultados variando entre -</w:t>
      </w:r>
      <w:r w:rsidR="00DA7B1C">
        <w:rPr>
          <w:rFonts w:ascii="Arial" w:hAnsi="Arial" w:cs="Arial"/>
        </w:rPr>
        <w:t>1,65</w:t>
      </w:r>
      <w:r>
        <w:rPr>
          <w:rFonts w:ascii="Arial" w:hAnsi="Arial" w:cs="Arial"/>
        </w:rPr>
        <w:t xml:space="preserve">% e </w:t>
      </w:r>
      <w:r w:rsidR="007975ED">
        <w:rPr>
          <w:rFonts w:ascii="Arial" w:hAnsi="Arial" w:cs="Arial"/>
        </w:rPr>
        <w:t>10,1</w:t>
      </w:r>
      <w:r>
        <w:rPr>
          <w:rFonts w:ascii="Arial" w:hAnsi="Arial" w:cs="Arial"/>
        </w:rPr>
        <w:t>%. No entanto, o que a maioria dos trabalhos mostra é que, a despeito dos elevados valores transacionados que tem sido observados no mercado de leilões</w:t>
      </w:r>
      <w:r w:rsidR="00D426B7">
        <w:rPr>
          <w:rFonts w:ascii="Arial" w:hAnsi="Arial" w:cs="Arial"/>
        </w:rPr>
        <w:t>, não é possível concluir que o mercado de arte apresenta uma rentabilidade elevada e, em muitos casos, ela é inferior a investimentos com um risco mais baixo.</w:t>
      </w:r>
    </w:p>
    <w:p w:rsidR="0017751A" w:rsidRDefault="0017751A" w:rsidP="00DC5B46">
      <w:pPr>
        <w:jc w:val="both"/>
        <w:rPr>
          <w:rFonts w:ascii="Arial" w:hAnsi="Arial" w:cs="Arial"/>
        </w:rPr>
      </w:pPr>
      <w:r>
        <w:rPr>
          <w:rFonts w:ascii="Arial" w:hAnsi="Arial" w:cs="Arial"/>
        </w:rPr>
        <w:tab/>
        <w:t xml:space="preserve">Há diversas explicações para esta variabilidade na rentabilidade de obras de arte. Segundo Bialynicka-Birula (2013), o mercado de arte apresenta características altamente especificas, como baixa liquidez e longo tempo de retorno. Além disso, segundo a mesma, a aquisição de uma obra de arte, na maioria dos casos, tem objetivos além da rentabilidade, tais como psicológicos (o prazer de possuir uma obra de arte), estéticos e sociais (ser conhecido como colecionador ou possuidor de obra de arte). Por fim, neste mesmo artigo, ela ressalta o caráter único de uma obra de </w:t>
      </w:r>
      <w:r>
        <w:rPr>
          <w:rFonts w:ascii="Arial" w:hAnsi="Arial" w:cs="Arial"/>
        </w:rPr>
        <w:lastRenderedPageBreak/>
        <w:t>arte. Portanto, mesmo entre obras de um mesmo autor, há limitações nas metodologias para determinar a rentabilidade.</w:t>
      </w:r>
    </w:p>
    <w:p w:rsidR="00714D4B" w:rsidRDefault="006A1E31" w:rsidP="00DC5B46">
      <w:pPr>
        <w:jc w:val="both"/>
        <w:rPr>
          <w:rFonts w:ascii="Arial" w:hAnsi="Arial" w:cs="Arial"/>
        </w:rPr>
      </w:pPr>
      <w:r>
        <w:rPr>
          <w:rFonts w:ascii="Arial" w:hAnsi="Arial" w:cs="Arial"/>
        </w:rPr>
        <w:tab/>
        <w:t>Frey e Eichenberger (1995) também destacam os benefícios psicológicos em possuir uma obra de arte. Sua posição é que a grande maioria dos compradores de obras de arte ou itens colecionáveis não se comportam como investidores puros, visando unicamente o retorno financeiro. Também indicam que mudanças nos gostos dos consumidores de arte provocam mudanças nos valores a serem pagos e, consequentemente, na rentabilidade destes trabalhos.</w:t>
      </w:r>
    </w:p>
    <w:p w:rsidR="00755B1E" w:rsidRDefault="00755B1E" w:rsidP="00DC5B46">
      <w:pPr>
        <w:jc w:val="both"/>
        <w:rPr>
          <w:rFonts w:ascii="Arial" w:hAnsi="Arial" w:cs="Arial"/>
        </w:rPr>
      </w:pPr>
      <w:r>
        <w:rPr>
          <w:rFonts w:ascii="Arial" w:hAnsi="Arial" w:cs="Arial"/>
        </w:rPr>
        <w:tab/>
        <w:t xml:space="preserve">Mandel (2009) denomina esse benefício psicológico em possuir uma obra de arte como “dividendo estético”. A teoria do dividendo estético afirma que os baixos retornos financeiros gerados pela aquisição das obras de arte são compensadas pela alta utilidade resultante de possuir a mesma, incluindo aí o status social </w:t>
      </w:r>
      <w:r w:rsidR="003C47A7">
        <w:rPr>
          <w:rFonts w:ascii="Arial" w:hAnsi="Arial" w:cs="Arial"/>
        </w:rPr>
        <w:t>desfrutado pelo colecionador</w:t>
      </w:r>
      <w:r>
        <w:rPr>
          <w:rFonts w:ascii="Arial" w:hAnsi="Arial" w:cs="Arial"/>
        </w:rPr>
        <w:t>.</w:t>
      </w:r>
    </w:p>
    <w:p w:rsidR="00EC4784" w:rsidRDefault="00EC4784" w:rsidP="00DC5B46">
      <w:pPr>
        <w:jc w:val="both"/>
        <w:rPr>
          <w:rFonts w:ascii="Arial" w:hAnsi="Arial" w:cs="Arial"/>
        </w:rPr>
      </w:pPr>
      <w:r>
        <w:rPr>
          <w:rFonts w:ascii="Arial" w:hAnsi="Arial" w:cs="Arial"/>
        </w:rPr>
        <w:tab/>
        <w:t>Por conseguinte, as mudanças na percepção das características, sobretudo qualitativas, das obras de arte pelo público consumidor, bem como a atitude do comprador de obras de arte, não como um investidor puro, mas como alguém que, além de um investimento, busca um objeto de qualidade estética, são possíveis explicações para as baixas rentabilidades gerais de obras de arte, bem como para a variabilidade da mesma no âmbito dos estudos analisados.</w:t>
      </w:r>
    </w:p>
    <w:p w:rsidR="00845A11" w:rsidRDefault="0017751A" w:rsidP="00DC5B46">
      <w:pPr>
        <w:jc w:val="both"/>
        <w:rPr>
          <w:rFonts w:ascii="Arial" w:hAnsi="Arial" w:cs="Arial"/>
        </w:rPr>
      </w:pPr>
      <w:r>
        <w:rPr>
          <w:rFonts w:ascii="Arial" w:hAnsi="Arial" w:cs="Arial"/>
        </w:rPr>
        <w:tab/>
      </w:r>
      <w:r w:rsidR="00845A11">
        <w:rPr>
          <w:rFonts w:ascii="Arial" w:hAnsi="Arial" w:cs="Arial"/>
        </w:rPr>
        <w:tab/>
      </w:r>
    </w:p>
    <w:p w:rsidR="00166B51" w:rsidRDefault="003E7772" w:rsidP="00F05579">
      <w:pPr>
        <w:jc w:val="both"/>
        <w:rPr>
          <w:rFonts w:ascii="Arial" w:hAnsi="Arial" w:cs="Arial"/>
          <w:b/>
        </w:rPr>
      </w:pPr>
      <w:r>
        <w:rPr>
          <w:rFonts w:ascii="Arial" w:hAnsi="Arial" w:cs="Arial"/>
        </w:rPr>
        <w:tab/>
      </w:r>
    </w:p>
    <w:p w:rsidR="00547583" w:rsidRDefault="00EF6E1F" w:rsidP="00F05579">
      <w:pPr>
        <w:jc w:val="both"/>
        <w:rPr>
          <w:rFonts w:ascii="Arial" w:hAnsi="Arial" w:cs="Arial"/>
          <w:b/>
        </w:rPr>
      </w:pPr>
      <w:r>
        <w:rPr>
          <w:rFonts w:ascii="Arial" w:hAnsi="Arial" w:cs="Arial"/>
          <w:b/>
        </w:rPr>
        <w:t xml:space="preserve">3. </w:t>
      </w:r>
      <w:r w:rsidR="00DC5B46">
        <w:rPr>
          <w:rFonts w:ascii="Arial" w:hAnsi="Arial" w:cs="Arial"/>
          <w:b/>
        </w:rPr>
        <w:t>METODOLOGIA</w:t>
      </w:r>
    </w:p>
    <w:p w:rsidR="00EF6E1F" w:rsidRDefault="00EF6E1F" w:rsidP="00F05579">
      <w:pPr>
        <w:jc w:val="both"/>
        <w:rPr>
          <w:rFonts w:ascii="Arial" w:hAnsi="Arial" w:cs="Arial"/>
          <w:b/>
        </w:rPr>
      </w:pPr>
    </w:p>
    <w:p w:rsidR="00DC5B46" w:rsidRDefault="00845A11" w:rsidP="00F05579">
      <w:pPr>
        <w:jc w:val="both"/>
        <w:rPr>
          <w:rFonts w:ascii="Arial" w:hAnsi="Arial" w:cs="Arial"/>
          <w:b/>
        </w:rPr>
      </w:pPr>
      <w:r>
        <w:rPr>
          <w:rFonts w:ascii="Arial" w:hAnsi="Arial" w:cs="Arial"/>
          <w:b/>
        </w:rPr>
        <w:t>3.1 Cálculo da rentabilidade no mercado de artes</w:t>
      </w:r>
    </w:p>
    <w:p w:rsidR="00714D4B" w:rsidRDefault="00714D4B" w:rsidP="00F05579">
      <w:pPr>
        <w:jc w:val="both"/>
        <w:rPr>
          <w:rFonts w:ascii="Arial" w:hAnsi="Arial" w:cs="Arial"/>
          <w:b/>
        </w:rPr>
      </w:pPr>
    </w:p>
    <w:p w:rsidR="00714D4B" w:rsidRDefault="00714D4B" w:rsidP="00F05579">
      <w:pPr>
        <w:jc w:val="both"/>
        <w:rPr>
          <w:rFonts w:ascii="Arial" w:hAnsi="Arial" w:cs="Arial"/>
        </w:rPr>
      </w:pPr>
      <w:r>
        <w:rPr>
          <w:rFonts w:ascii="Arial" w:hAnsi="Arial" w:cs="Arial"/>
          <w:b/>
        </w:rPr>
        <w:tab/>
      </w:r>
      <w:r>
        <w:rPr>
          <w:rFonts w:ascii="Arial" w:hAnsi="Arial" w:cs="Arial"/>
        </w:rPr>
        <w:t>Existem diversas metodologias para determinar a rentabilidade no mercado de artes. Zorloni (2013) cita as seguintes:</w:t>
      </w:r>
    </w:p>
    <w:p w:rsidR="00714D4B" w:rsidRDefault="00714D4B" w:rsidP="00F05579">
      <w:pPr>
        <w:jc w:val="both"/>
        <w:rPr>
          <w:rFonts w:ascii="Arial" w:hAnsi="Arial" w:cs="Arial"/>
        </w:rPr>
      </w:pPr>
    </w:p>
    <w:p w:rsidR="00714D4B" w:rsidRDefault="00714D4B" w:rsidP="00F05579">
      <w:pPr>
        <w:jc w:val="both"/>
        <w:rPr>
          <w:rFonts w:ascii="Arial" w:hAnsi="Arial" w:cs="Arial"/>
        </w:rPr>
      </w:pPr>
      <w:r>
        <w:rPr>
          <w:rFonts w:ascii="Arial" w:hAnsi="Arial" w:cs="Arial"/>
        </w:rPr>
        <w:tab/>
        <w:t>- Método das vendas duplas: considera o retorno obtido pela venda de uma mesma obra de arte em duas vendas sucessivas;</w:t>
      </w:r>
    </w:p>
    <w:p w:rsidR="00714D4B" w:rsidRDefault="00714D4B" w:rsidP="00F05579">
      <w:pPr>
        <w:jc w:val="both"/>
        <w:rPr>
          <w:rFonts w:ascii="Arial" w:hAnsi="Arial" w:cs="Arial"/>
        </w:rPr>
      </w:pPr>
      <w:r>
        <w:rPr>
          <w:rFonts w:ascii="Arial" w:hAnsi="Arial" w:cs="Arial"/>
        </w:rPr>
        <w:tab/>
        <w:t xml:space="preserve">- Método da pintura média: </w:t>
      </w:r>
      <w:r w:rsidR="00D905DF">
        <w:rPr>
          <w:rFonts w:ascii="Arial" w:hAnsi="Arial" w:cs="Arial"/>
        </w:rPr>
        <w:t>compara o valor médio das pinturas vendidas por determinado artista ou determinado conjunto</w:t>
      </w:r>
      <w:r>
        <w:rPr>
          <w:rFonts w:ascii="Arial" w:hAnsi="Arial" w:cs="Arial"/>
        </w:rPr>
        <w:t>, ano a ano;</w:t>
      </w:r>
    </w:p>
    <w:p w:rsidR="00714D4B" w:rsidRDefault="00714D4B" w:rsidP="00F05579">
      <w:pPr>
        <w:jc w:val="both"/>
        <w:rPr>
          <w:rFonts w:ascii="Arial" w:hAnsi="Arial" w:cs="Arial"/>
        </w:rPr>
      </w:pPr>
      <w:r>
        <w:rPr>
          <w:rFonts w:ascii="Arial" w:hAnsi="Arial" w:cs="Arial"/>
        </w:rPr>
        <w:tab/>
        <w:t>- Método da pintura representativa: uma evolução do método da pintura média</w:t>
      </w:r>
      <w:r w:rsidR="00D905DF">
        <w:rPr>
          <w:rFonts w:ascii="Arial" w:hAnsi="Arial" w:cs="Arial"/>
        </w:rPr>
        <w:t>, considera um grupo de pinturas com características específicas;</w:t>
      </w:r>
    </w:p>
    <w:p w:rsidR="00D905DF" w:rsidRDefault="00D905DF" w:rsidP="00F05579">
      <w:pPr>
        <w:jc w:val="both"/>
        <w:rPr>
          <w:rFonts w:ascii="Arial" w:hAnsi="Arial" w:cs="Arial"/>
        </w:rPr>
      </w:pPr>
      <w:r>
        <w:rPr>
          <w:rFonts w:ascii="Arial" w:hAnsi="Arial" w:cs="Arial"/>
        </w:rPr>
        <w:tab/>
        <w:t>- Método da regressão por vendas repetidas: determina índices de preços através de vendas repetidas da mesma obra, ao longo do tempo;</w:t>
      </w:r>
    </w:p>
    <w:p w:rsidR="00D905DF" w:rsidRDefault="00D905DF" w:rsidP="00F05579">
      <w:pPr>
        <w:jc w:val="both"/>
        <w:rPr>
          <w:rFonts w:ascii="Arial" w:hAnsi="Arial" w:cs="Arial"/>
        </w:rPr>
      </w:pPr>
      <w:r>
        <w:rPr>
          <w:rFonts w:ascii="Arial" w:hAnsi="Arial" w:cs="Arial"/>
        </w:rPr>
        <w:tab/>
        <w:t>- Método da regressão por preços hedônicos: assume que a dinâmica do preço de uma pintura é definida por um conjunto de características intrínsecas da obra em análise (tamanho, assinatura, artista, meio, etc.), e que, com estas características em conjunto, é possível determinar o preço da mesma.</w:t>
      </w:r>
    </w:p>
    <w:p w:rsidR="00D905DF" w:rsidRDefault="00D905DF" w:rsidP="00F05579">
      <w:pPr>
        <w:jc w:val="both"/>
        <w:rPr>
          <w:rFonts w:ascii="Arial" w:hAnsi="Arial" w:cs="Arial"/>
        </w:rPr>
      </w:pPr>
    </w:p>
    <w:p w:rsidR="00D905DF" w:rsidRDefault="00D905DF" w:rsidP="00F05579">
      <w:pPr>
        <w:jc w:val="both"/>
        <w:rPr>
          <w:rFonts w:ascii="Arial" w:hAnsi="Arial" w:cs="Arial"/>
        </w:rPr>
      </w:pPr>
      <w:r>
        <w:rPr>
          <w:rFonts w:ascii="Arial" w:hAnsi="Arial" w:cs="Arial"/>
        </w:rPr>
        <w:tab/>
        <w:t>Como podemos ver no capítulo 2, os métodos mais utilizados na análise de rentabilidade de obras de arte são a regressão por preços repetidos e a regressão por preços hedônicos.</w:t>
      </w:r>
    </w:p>
    <w:p w:rsidR="00891FC3" w:rsidRDefault="00891FC3" w:rsidP="00F05579">
      <w:pPr>
        <w:jc w:val="both"/>
        <w:rPr>
          <w:rFonts w:ascii="Arial" w:hAnsi="Arial" w:cs="Arial"/>
        </w:rPr>
      </w:pPr>
    </w:p>
    <w:p w:rsidR="00755B1E" w:rsidRDefault="00755B1E" w:rsidP="00F05579">
      <w:pPr>
        <w:jc w:val="both"/>
        <w:rPr>
          <w:rFonts w:ascii="Arial" w:hAnsi="Arial" w:cs="Arial"/>
        </w:rPr>
      </w:pPr>
    </w:p>
    <w:p w:rsidR="00755B1E" w:rsidRDefault="00755B1E" w:rsidP="00F05579">
      <w:pPr>
        <w:jc w:val="both"/>
        <w:rPr>
          <w:rFonts w:ascii="Arial" w:hAnsi="Arial" w:cs="Arial"/>
        </w:rPr>
      </w:pPr>
    </w:p>
    <w:p w:rsidR="00755B1E" w:rsidRDefault="00755B1E" w:rsidP="00F05579">
      <w:pPr>
        <w:jc w:val="both"/>
        <w:rPr>
          <w:rFonts w:ascii="Arial" w:hAnsi="Arial" w:cs="Arial"/>
        </w:rPr>
      </w:pPr>
    </w:p>
    <w:p w:rsidR="00891FC3" w:rsidRDefault="00891FC3" w:rsidP="00F05579">
      <w:pPr>
        <w:jc w:val="both"/>
        <w:rPr>
          <w:rFonts w:ascii="Arial" w:hAnsi="Arial" w:cs="Arial"/>
          <w:b/>
        </w:rPr>
      </w:pPr>
      <w:r>
        <w:rPr>
          <w:rFonts w:ascii="Arial" w:hAnsi="Arial" w:cs="Arial"/>
          <w:b/>
        </w:rPr>
        <w:lastRenderedPageBreak/>
        <w:t>3.2 Regressão por preços hedônicos</w:t>
      </w:r>
    </w:p>
    <w:p w:rsidR="00891FC3" w:rsidRDefault="00891FC3" w:rsidP="00F05579">
      <w:pPr>
        <w:jc w:val="both"/>
        <w:rPr>
          <w:rFonts w:ascii="Arial" w:hAnsi="Arial" w:cs="Arial"/>
          <w:b/>
        </w:rPr>
      </w:pPr>
    </w:p>
    <w:p w:rsidR="00891FC3" w:rsidRDefault="00891FC3" w:rsidP="00F05579">
      <w:pPr>
        <w:jc w:val="both"/>
        <w:rPr>
          <w:rFonts w:ascii="Arial" w:hAnsi="Arial" w:cs="Arial"/>
        </w:rPr>
      </w:pPr>
      <w:r>
        <w:rPr>
          <w:rFonts w:ascii="Arial" w:hAnsi="Arial" w:cs="Arial"/>
          <w:b/>
        </w:rPr>
        <w:tab/>
      </w:r>
      <w:r w:rsidR="00E002F5">
        <w:rPr>
          <w:rFonts w:ascii="Arial" w:hAnsi="Arial" w:cs="Arial"/>
        </w:rPr>
        <w:t>De acordo com Lancaster (1966), bens possuem múltiplas características</w:t>
      </w:r>
      <w:r w:rsidR="00CD49D8">
        <w:rPr>
          <w:rFonts w:ascii="Arial" w:hAnsi="Arial" w:cs="Arial"/>
        </w:rPr>
        <w:t xml:space="preserve"> em proporções fixas, e são sobre estas características, e nãos sobre os bens em si, que as preferências do consumidor são exercidas.</w:t>
      </w:r>
    </w:p>
    <w:p w:rsidR="00EC4784" w:rsidRDefault="00EC4784" w:rsidP="00F05579">
      <w:pPr>
        <w:jc w:val="both"/>
        <w:rPr>
          <w:rFonts w:ascii="Arial" w:hAnsi="Arial" w:cs="Arial"/>
        </w:rPr>
      </w:pPr>
      <w:r>
        <w:rPr>
          <w:rFonts w:ascii="Arial" w:hAnsi="Arial" w:cs="Arial"/>
        </w:rPr>
        <w:tab/>
        <w:t>Como consequência destas conclusões, Rosen (1974) propõe que é possível determinar a relação entre o preço do bem e as características do mesmo, o que ele chama de função dos preços hedônicos. Segundo Rosen, cada característica possui um preço implícito, e que a função dos preços implícitos é o valor do bem. Formalmente, temos que o preço p</w:t>
      </w:r>
      <w:r>
        <w:rPr>
          <w:rFonts w:ascii="Arial" w:hAnsi="Arial" w:cs="Arial"/>
          <w:vertAlign w:val="subscript"/>
        </w:rPr>
        <w:t>i</w:t>
      </w:r>
      <w:r>
        <w:rPr>
          <w:rFonts w:ascii="Arial" w:hAnsi="Arial" w:cs="Arial"/>
        </w:rPr>
        <w:t xml:space="preserve"> de um bem é função de suas k características</w:t>
      </w:r>
      <w:r w:rsidR="001F6F8F">
        <w:rPr>
          <w:rFonts w:ascii="Arial" w:hAnsi="Arial" w:cs="Arial"/>
        </w:rPr>
        <w:t xml:space="preserve"> c</w:t>
      </w:r>
      <w:r w:rsidR="001F6F8F">
        <w:rPr>
          <w:rFonts w:ascii="Arial" w:hAnsi="Arial" w:cs="Arial"/>
          <w:vertAlign w:val="subscript"/>
        </w:rPr>
        <w:t>k</w:t>
      </w:r>
      <w:r>
        <w:rPr>
          <w:rFonts w:ascii="Arial" w:hAnsi="Arial" w:cs="Arial"/>
        </w:rPr>
        <w:t>:</w:t>
      </w:r>
    </w:p>
    <w:p w:rsidR="00EC4784" w:rsidRDefault="00EC4784" w:rsidP="00F05579">
      <w:pPr>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
      </w:tblGrid>
      <w:tr w:rsidR="00EC4784" w:rsidTr="00EC4784">
        <w:tc>
          <w:tcPr>
            <w:tcW w:w="8359" w:type="dxa"/>
          </w:tcPr>
          <w:p w:rsidR="00EC4784" w:rsidRDefault="00EC4784" w:rsidP="00EC4784">
            <w:pPr>
              <w:jc w:val="center"/>
              <w:rPr>
                <w:rFonts w:ascii="Arial" w:hAnsi="Arial" w:cs="Arial"/>
              </w:rPr>
            </w:pPr>
            <w:r>
              <w:rPr>
                <w:rFonts w:ascii="Arial" w:hAnsi="Arial" w:cs="Arial"/>
              </w:rPr>
              <w:t>p</w:t>
            </w:r>
            <w:r>
              <w:rPr>
                <w:rFonts w:ascii="Arial" w:hAnsi="Arial" w:cs="Arial"/>
                <w:vertAlign w:val="subscript"/>
              </w:rPr>
              <w:t>i</w:t>
            </w:r>
            <w:r>
              <w:rPr>
                <w:rFonts w:ascii="Arial" w:hAnsi="Arial" w:cs="Arial"/>
              </w:rPr>
              <w:t xml:space="preserve"> = p</w:t>
            </w:r>
            <w:r>
              <w:rPr>
                <w:rFonts w:ascii="Arial" w:hAnsi="Arial" w:cs="Arial"/>
                <w:vertAlign w:val="subscript"/>
              </w:rPr>
              <w:t>i</w:t>
            </w:r>
            <w:r>
              <w:rPr>
                <w:rFonts w:ascii="Arial" w:hAnsi="Arial" w:cs="Arial"/>
              </w:rPr>
              <w:t>(c</w:t>
            </w:r>
            <w:r>
              <w:rPr>
                <w:rFonts w:ascii="Arial" w:hAnsi="Arial" w:cs="Arial"/>
                <w:vertAlign w:val="subscript"/>
              </w:rPr>
              <w:t>1</w:t>
            </w:r>
            <w:r>
              <w:rPr>
                <w:rFonts w:ascii="Arial" w:hAnsi="Arial" w:cs="Arial"/>
              </w:rPr>
              <w:t>, c</w:t>
            </w:r>
            <w:r>
              <w:rPr>
                <w:rFonts w:ascii="Arial" w:hAnsi="Arial" w:cs="Arial"/>
                <w:vertAlign w:val="subscript"/>
              </w:rPr>
              <w:t>2</w:t>
            </w:r>
            <w:r>
              <w:rPr>
                <w:rFonts w:ascii="Arial" w:hAnsi="Arial" w:cs="Arial"/>
              </w:rPr>
              <w:t>, c</w:t>
            </w:r>
            <w:r>
              <w:rPr>
                <w:rFonts w:ascii="Arial" w:hAnsi="Arial" w:cs="Arial"/>
                <w:vertAlign w:val="subscript"/>
              </w:rPr>
              <w:t>3</w:t>
            </w:r>
            <w:r>
              <w:rPr>
                <w:rFonts w:ascii="Arial" w:hAnsi="Arial" w:cs="Arial"/>
              </w:rPr>
              <w:t>, ..., c</w:t>
            </w:r>
            <w:r>
              <w:rPr>
                <w:rFonts w:ascii="Arial" w:hAnsi="Arial" w:cs="Arial"/>
                <w:vertAlign w:val="subscript"/>
              </w:rPr>
              <w:t>k</w:t>
            </w:r>
            <w:r>
              <w:rPr>
                <w:rFonts w:ascii="Arial" w:hAnsi="Arial" w:cs="Arial"/>
              </w:rPr>
              <w:t>)</w:t>
            </w:r>
          </w:p>
        </w:tc>
        <w:tc>
          <w:tcPr>
            <w:tcW w:w="702" w:type="dxa"/>
          </w:tcPr>
          <w:p w:rsidR="00EC4784" w:rsidRDefault="00EC4784" w:rsidP="00EC4784">
            <w:pPr>
              <w:jc w:val="center"/>
              <w:rPr>
                <w:rFonts w:ascii="Arial" w:hAnsi="Arial" w:cs="Arial"/>
              </w:rPr>
            </w:pPr>
            <w:r>
              <w:rPr>
                <w:rFonts w:ascii="Arial" w:hAnsi="Arial" w:cs="Arial"/>
              </w:rPr>
              <w:t>(1)</w:t>
            </w:r>
          </w:p>
        </w:tc>
      </w:tr>
    </w:tbl>
    <w:p w:rsidR="00EC4784" w:rsidRDefault="00EC4784" w:rsidP="00F05579">
      <w:pPr>
        <w:jc w:val="both"/>
        <w:rPr>
          <w:rFonts w:ascii="Arial" w:hAnsi="Arial" w:cs="Arial"/>
        </w:rPr>
      </w:pPr>
    </w:p>
    <w:p w:rsidR="00A86C9C" w:rsidRDefault="00A86C9C" w:rsidP="00F05579">
      <w:pPr>
        <w:jc w:val="both"/>
        <w:rPr>
          <w:rFonts w:ascii="Arial" w:hAnsi="Arial" w:cs="Arial"/>
        </w:rPr>
      </w:pPr>
      <w:r>
        <w:rPr>
          <w:rFonts w:ascii="Arial" w:hAnsi="Arial" w:cs="Arial"/>
        </w:rPr>
        <w:t>No qual p</w:t>
      </w:r>
      <w:r>
        <w:rPr>
          <w:rFonts w:ascii="Arial" w:hAnsi="Arial" w:cs="Arial"/>
          <w:vertAlign w:val="subscript"/>
        </w:rPr>
        <w:t>i</w:t>
      </w:r>
      <w:r>
        <w:rPr>
          <w:rFonts w:ascii="Arial" w:hAnsi="Arial" w:cs="Arial"/>
        </w:rPr>
        <w:t>(.) é a função de preços hedônicos. Estimada esta função, é possível determinar o preço implícito da k-ésima característica do bem.</w:t>
      </w:r>
    </w:p>
    <w:p w:rsidR="00A86C9C" w:rsidRDefault="00A86C9C" w:rsidP="00F05579">
      <w:pPr>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
      </w:tblGrid>
      <w:tr w:rsidR="00A86C9C" w:rsidTr="00261607">
        <w:tc>
          <w:tcPr>
            <w:tcW w:w="8359" w:type="dxa"/>
          </w:tcPr>
          <w:p w:rsidR="00A86C9C" w:rsidRPr="00A86C9C" w:rsidRDefault="00110287" w:rsidP="00A86C9C">
            <w:pPr>
              <w:jc w:val="center"/>
              <w:rPr>
                <w:rFonts w:ascii="Arial" w:hAnsi="Arial" w:cs="Arial"/>
              </w:rPr>
            </w:pPr>
            <m:oMathPara>
              <m:oMath>
                <m:sSub>
                  <m:sSubPr>
                    <m:ctrlPr>
                      <w:rPr>
                        <w:rFonts w:ascii="Cambria Math" w:hAnsi="Cambria Math" w:cs="Arial"/>
                        <w:i/>
                      </w:rPr>
                    </m:ctrlPr>
                  </m:sSubPr>
                  <m:e>
                    <m:r>
                      <m:rPr>
                        <m:nor/>
                      </m:rPr>
                      <w:rPr>
                        <w:rFonts w:ascii="Arial" w:hAnsi="Arial" w:cs="Arial"/>
                      </w:rPr>
                      <m:t>p</m:t>
                    </m:r>
                  </m:e>
                  <m:sub>
                    <m:r>
                      <m:rPr>
                        <m:nor/>
                      </m:rPr>
                      <w:rPr>
                        <w:rFonts w:ascii="Arial" w:hAnsi="Arial" w:cs="Arial"/>
                      </w:rPr>
                      <m:t>k</m:t>
                    </m:r>
                  </m:sub>
                </m:sSub>
                <m:r>
                  <m:rPr>
                    <m:nor/>
                  </m:rPr>
                  <w:rPr>
                    <w:rFonts w:ascii="Arial" w:hAnsi="Arial" w:cs="Arial"/>
                  </w:rPr>
                  <m:t xml:space="preserve"> = </m:t>
                </m:r>
                <m:f>
                  <m:fPr>
                    <m:ctrlPr>
                      <w:rPr>
                        <w:rFonts w:ascii="Cambria Math" w:hAnsi="Cambria Math" w:cs="Arial"/>
                        <w:i/>
                      </w:rPr>
                    </m:ctrlPr>
                  </m:fPr>
                  <m:num>
                    <m:r>
                      <m:rPr>
                        <m:nor/>
                      </m:rPr>
                      <w:rPr>
                        <w:rFonts w:ascii="Arial" w:hAnsi="Arial" w:cs="Arial"/>
                      </w:rPr>
                      <m:t>∂</m:t>
                    </m:r>
                    <m:sSub>
                      <m:sSubPr>
                        <m:ctrlPr>
                          <w:rPr>
                            <w:rFonts w:ascii="Cambria Math" w:hAnsi="Cambria Math" w:cs="Arial"/>
                            <w:i/>
                          </w:rPr>
                        </m:ctrlPr>
                      </m:sSubPr>
                      <m:e>
                        <m:r>
                          <m:rPr>
                            <m:nor/>
                          </m:rPr>
                          <w:rPr>
                            <w:rFonts w:ascii="Arial" w:hAnsi="Arial" w:cs="Arial"/>
                          </w:rPr>
                          <m:t>p</m:t>
                        </m:r>
                      </m:e>
                      <m:sub>
                        <m:r>
                          <m:rPr>
                            <m:nor/>
                          </m:rPr>
                          <w:rPr>
                            <w:rFonts w:ascii="Arial" w:hAnsi="Arial" w:cs="Arial"/>
                          </w:rPr>
                          <m:t>i</m:t>
                        </m:r>
                      </m:sub>
                    </m:sSub>
                    <m:r>
                      <m:rPr>
                        <m:nor/>
                      </m:rPr>
                      <w:rPr>
                        <w:rFonts w:ascii="Arial" w:hAnsi="Arial" w:cs="Arial"/>
                      </w:rPr>
                      <m:t>(.)</m:t>
                    </m:r>
                  </m:num>
                  <m:den>
                    <m:r>
                      <m:rPr>
                        <m:nor/>
                      </m:rPr>
                      <w:rPr>
                        <w:rFonts w:ascii="Arial" w:hAnsi="Arial" w:cs="Arial"/>
                      </w:rPr>
                      <m:t>∂</m:t>
                    </m:r>
                    <m:sSub>
                      <m:sSubPr>
                        <m:ctrlPr>
                          <w:rPr>
                            <w:rFonts w:ascii="Cambria Math" w:hAnsi="Cambria Math" w:cs="Arial"/>
                            <w:i/>
                          </w:rPr>
                        </m:ctrlPr>
                      </m:sSubPr>
                      <m:e>
                        <m:r>
                          <m:rPr>
                            <m:nor/>
                          </m:rPr>
                          <w:rPr>
                            <w:rFonts w:ascii="Arial" w:hAnsi="Arial" w:cs="Arial"/>
                          </w:rPr>
                          <m:t>c</m:t>
                        </m:r>
                      </m:e>
                      <m:sub>
                        <m:r>
                          <m:rPr>
                            <m:nor/>
                          </m:rPr>
                          <w:rPr>
                            <w:rFonts w:ascii="Arial" w:hAnsi="Arial" w:cs="Arial"/>
                          </w:rPr>
                          <m:t>k</m:t>
                        </m:r>
                      </m:sub>
                    </m:sSub>
                  </m:den>
                </m:f>
              </m:oMath>
            </m:oMathPara>
          </w:p>
        </w:tc>
        <w:tc>
          <w:tcPr>
            <w:tcW w:w="702" w:type="dxa"/>
          </w:tcPr>
          <w:p w:rsidR="00A86C9C" w:rsidRDefault="00A86C9C" w:rsidP="00261607">
            <w:pPr>
              <w:jc w:val="center"/>
              <w:rPr>
                <w:rFonts w:ascii="Arial" w:hAnsi="Arial" w:cs="Arial"/>
              </w:rPr>
            </w:pPr>
            <w:r>
              <w:rPr>
                <w:rFonts w:ascii="Arial" w:hAnsi="Arial" w:cs="Arial"/>
              </w:rPr>
              <w:t>(2)</w:t>
            </w:r>
          </w:p>
        </w:tc>
      </w:tr>
    </w:tbl>
    <w:p w:rsidR="00BE7BB6" w:rsidRDefault="00BE7BB6" w:rsidP="00F05579">
      <w:pPr>
        <w:jc w:val="both"/>
        <w:rPr>
          <w:rFonts w:ascii="Arial" w:hAnsi="Arial" w:cs="Arial"/>
        </w:rPr>
      </w:pPr>
    </w:p>
    <w:p w:rsidR="00BE7BB6" w:rsidRDefault="00BE7BB6" w:rsidP="00F05579">
      <w:pPr>
        <w:jc w:val="both"/>
        <w:rPr>
          <w:rFonts w:ascii="Arial" w:hAnsi="Arial" w:cs="Arial"/>
        </w:rPr>
      </w:pPr>
      <w:r>
        <w:rPr>
          <w:rFonts w:ascii="Arial" w:hAnsi="Arial" w:cs="Arial"/>
        </w:rPr>
        <w:tab/>
        <w:t>Rosen desenvolveu uma metodologia para estimação das funções hedônicas para as curvas de oferta e demanda. Seguindo a metodologia desenhada por Rosen, Freeman (1979) propôs que, para determinação da função de preços hedônicos, contando com uma base de dados de produtos negociados, com suas características definidas, pode ser utilizado o Método dos Mínimos Quadrados Ordinários, que permite determinar os coeficientes d</w:t>
      </w:r>
      <w:r w:rsidR="00E007E5">
        <w:rPr>
          <w:rFonts w:ascii="Arial" w:hAnsi="Arial" w:cs="Arial"/>
        </w:rPr>
        <w:t>a fun</w:t>
      </w:r>
      <w:r>
        <w:rPr>
          <w:rFonts w:ascii="Arial" w:hAnsi="Arial" w:cs="Arial"/>
        </w:rPr>
        <w:t>ção.</w:t>
      </w:r>
    </w:p>
    <w:p w:rsidR="00C4570A" w:rsidRDefault="00C4570A" w:rsidP="00F05579">
      <w:pPr>
        <w:jc w:val="both"/>
        <w:rPr>
          <w:rFonts w:ascii="Arial" w:hAnsi="Arial" w:cs="Arial"/>
        </w:rPr>
      </w:pPr>
      <w:r>
        <w:rPr>
          <w:rFonts w:ascii="Arial" w:hAnsi="Arial" w:cs="Arial"/>
        </w:rPr>
        <w:tab/>
        <w:t>Apesar de uma série de críticas a essa abordagem, das quais destaca-se Bartik (1987), Sheppard (1999) informa que funções de preços hedônicos são estimadas com duas principais finalidades: (i) construção de índices de preços, especialmente em casos onde os dados apresentam heterogeneidade dos atributos e (ii) para análise de demanda por atributos de bens heterogêneos.</w:t>
      </w:r>
    </w:p>
    <w:p w:rsidR="00864CE6" w:rsidRPr="00864CE6" w:rsidRDefault="00864CE6" w:rsidP="00F05579">
      <w:pPr>
        <w:jc w:val="both"/>
        <w:rPr>
          <w:rFonts w:ascii="Arial" w:hAnsi="Arial" w:cs="Arial"/>
        </w:rPr>
      </w:pPr>
      <w:r>
        <w:rPr>
          <w:rFonts w:ascii="Arial" w:hAnsi="Arial" w:cs="Arial"/>
        </w:rPr>
        <w:tab/>
        <w:t>Para análise no mercado de arte, de acordo com Chanel</w:t>
      </w:r>
      <w:r w:rsidR="00370E67">
        <w:rPr>
          <w:rFonts w:ascii="Arial" w:hAnsi="Arial" w:cs="Arial"/>
        </w:rPr>
        <w:t>, Gerard-Varet e Ginsburgh (1996</w:t>
      </w:r>
      <w:r>
        <w:rPr>
          <w:rFonts w:ascii="Arial" w:hAnsi="Arial" w:cs="Arial"/>
        </w:rPr>
        <w:t>), uma determinada obra de arte k, em um dado tempo t, tem seu preço p</w:t>
      </w:r>
      <w:r>
        <w:rPr>
          <w:rFonts w:ascii="Arial" w:hAnsi="Arial" w:cs="Arial"/>
          <w:vertAlign w:val="subscript"/>
        </w:rPr>
        <w:t>kt</w:t>
      </w:r>
      <w:r>
        <w:rPr>
          <w:rFonts w:ascii="Arial" w:hAnsi="Arial" w:cs="Arial"/>
        </w:rPr>
        <w:t xml:space="preserve"> como função de duas diversas características x</w:t>
      </w:r>
      <w:r>
        <w:rPr>
          <w:rFonts w:ascii="Arial" w:hAnsi="Arial" w:cs="Arial"/>
          <w:vertAlign w:val="subscript"/>
        </w:rPr>
        <w:t>n,kt</w:t>
      </w:r>
      <w:r>
        <w:rPr>
          <w:rFonts w:ascii="Arial" w:hAnsi="Arial" w:cs="Arial"/>
        </w:rPr>
        <w:t xml:space="preserve"> e do tempo t.</w:t>
      </w:r>
    </w:p>
    <w:p w:rsidR="00A86C9C" w:rsidRDefault="00A86C9C" w:rsidP="00F05579">
      <w:pPr>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
      </w:tblGrid>
      <w:tr w:rsidR="00864CE6" w:rsidTr="00261607">
        <w:tc>
          <w:tcPr>
            <w:tcW w:w="8359" w:type="dxa"/>
          </w:tcPr>
          <w:p w:rsidR="00864CE6" w:rsidRDefault="00864CE6" w:rsidP="00864CE6">
            <w:pPr>
              <w:spacing w:line="360" w:lineRule="auto"/>
              <w:jc w:val="center"/>
              <w:rPr>
                <w:rFonts w:ascii="Arial" w:hAnsi="Arial" w:cs="Arial"/>
                <w:noProof/>
              </w:rPr>
            </w:pPr>
            <w:r>
              <w:rPr>
                <w:rFonts w:ascii="Arial" w:hAnsi="Arial" w:cs="Arial"/>
                <w:noProof/>
              </w:rPr>
              <w:t>p</w:t>
            </w:r>
            <w:r w:rsidRPr="00A81D14">
              <w:rPr>
                <w:rFonts w:ascii="Arial" w:hAnsi="Arial" w:cs="Arial"/>
                <w:noProof/>
                <w:vertAlign w:val="subscript"/>
              </w:rPr>
              <w:t>kt</w:t>
            </w:r>
            <w:r>
              <w:rPr>
                <w:rFonts w:ascii="Arial" w:hAnsi="Arial" w:cs="Arial"/>
                <w:noProof/>
              </w:rPr>
              <w:t xml:space="preserve"> = f(x</w:t>
            </w:r>
            <w:r w:rsidRPr="00A81D14">
              <w:rPr>
                <w:rFonts w:ascii="Arial" w:hAnsi="Arial" w:cs="Arial"/>
                <w:noProof/>
                <w:vertAlign w:val="subscript"/>
              </w:rPr>
              <w:t>1,kt</w:t>
            </w:r>
            <w:r>
              <w:rPr>
                <w:rFonts w:ascii="Arial" w:hAnsi="Arial" w:cs="Arial"/>
                <w:noProof/>
              </w:rPr>
              <w:t>, x</w:t>
            </w:r>
            <w:r w:rsidRPr="00A81D14">
              <w:rPr>
                <w:rFonts w:ascii="Arial" w:hAnsi="Arial" w:cs="Arial"/>
                <w:noProof/>
                <w:vertAlign w:val="subscript"/>
              </w:rPr>
              <w:t>2,kt</w:t>
            </w:r>
            <w:r>
              <w:rPr>
                <w:rFonts w:ascii="Arial" w:hAnsi="Arial" w:cs="Arial"/>
                <w:noProof/>
              </w:rPr>
              <w:t>,...,x</w:t>
            </w:r>
            <w:r w:rsidRPr="00A81D14">
              <w:rPr>
                <w:rFonts w:ascii="Arial" w:hAnsi="Arial" w:cs="Arial"/>
                <w:noProof/>
                <w:vertAlign w:val="subscript"/>
              </w:rPr>
              <w:t>nkt</w:t>
            </w:r>
            <w:r>
              <w:rPr>
                <w:rFonts w:ascii="Arial" w:hAnsi="Arial" w:cs="Arial"/>
                <w:noProof/>
              </w:rPr>
              <w:t>, t)</w:t>
            </w:r>
          </w:p>
        </w:tc>
        <w:tc>
          <w:tcPr>
            <w:tcW w:w="702" w:type="dxa"/>
          </w:tcPr>
          <w:p w:rsidR="00864CE6" w:rsidRDefault="00864CE6" w:rsidP="00864CE6">
            <w:pPr>
              <w:jc w:val="center"/>
              <w:rPr>
                <w:rFonts w:ascii="Arial" w:hAnsi="Arial" w:cs="Arial"/>
              </w:rPr>
            </w:pPr>
            <w:r>
              <w:rPr>
                <w:rFonts w:ascii="Arial" w:hAnsi="Arial" w:cs="Arial"/>
              </w:rPr>
              <w:t>(3)</w:t>
            </w:r>
          </w:p>
        </w:tc>
      </w:tr>
    </w:tbl>
    <w:p w:rsidR="00864CE6" w:rsidRDefault="00864CE6" w:rsidP="00F05579">
      <w:pPr>
        <w:jc w:val="both"/>
        <w:rPr>
          <w:rFonts w:ascii="Arial" w:hAnsi="Arial" w:cs="Arial"/>
        </w:rPr>
      </w:pPr>
    </w:p>
    <w:p w:rsidR="00864CE6" w:rsidRDefault="00864CE6" w:rsidP="00F05579">
      <w:pPr>
        <w:jc w:val="both"/>
        <w:rPr>
          <w:rFonts w:ascii="Arial" w:hAnsi="Arial" w:cs="Arial"/>
        </w:rPr>
      </w:pPr>
      <w:r>
        <w:rPr>
          <w:rFonts w:ascii="Arial" w:hAnsi="Arial" w:cs="Arial"/>
        </w:rPr>
        <w:tab/>
        <w:t xml:space="preserve">Se adotarmos a função </w:t>
      </w:r>
      <w:r w:rsidR="002E07FF">
        <w:rPr>
          <w:rFonts w:ascii="Arial" w:hAnsi="Arial" w:cs="Arial"/>
        </w:rPr>
        <w:t>logarítmica</w:t>
      </w:r>
      <w:r>
        <w:rPr>
          <w:rFonts w:ascii="Arial" w:hAnsi="Arial" w:cs="Arial"/>
        </w:rPr>
        <w:t xml:space="preserve"> para os preços, a equação 3 assume a seguinte forma aditiva.</w:t>
      </w:r>
    </w:p>
    <w:p w:rsidR="00864CE6" w:rsidRDefault="00864CE6" w:rsidP="00F05579">
      <w:pPr>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
      </w:tblGrid>
      <w:tr w:rsidR="00864CE6" w:rsidTr="00261607">
        <w:tc>
          <w:tcPr>
            <w:tcW w:w="8359" w:type="dxa"/>
          </w:tcPr>
          <w:p w:rsidR="00864CE6" w:rsidRPr="00864CE6" w:rsidRDefault="00864CE6" w:rsidP="00864CE6">
            <w:pPr>
              <w:spacing w:line="360" w:lineRule="auto"/>
              <w:jc w:val="center"/>
              <w:rPr>
                <w:rFonts w:ascii="Arial" w:eastAsiaTheme="minorHAnsi" w:hAnsi="Arial" w:cs="Arial"/>
                <w:noProof/>
              </w:rPr>
            </w:pPr>
            <w:r w:rsidRPr="00864CE6">
              <w:rPr>
                <w:rFonts w:ascii="Arial" w:eastAsiaTheme="minorHAnsi" w:hAnsi="Arial" w:cs="Arial"/>
                <w:noProof/>
              </w:rPr>
              <w:t>ln(p</w:t>
            </w:r>
            <w:r w:rsidRPr="00864CE6">
              <w:rPr>
                <w:rFonts w:ascii="Arial" w:eastAsiaTheme="minorHAnsi" w:hAnsi="Arial" w:cs="Arial"/>
                <w:noProof/>
                <w:vertAlign w:val="subscript"/>
              </w:rPr>
              <w:t>kt</w:t>
            </w:r>
            <w:r w:rsidRPr="00864CE6">
              <w:rPr>
                <w:rFonts w:ascii="Arial" w:eastAsiaTheme="minorHAnsi" w:hAnsi="Arial" w:cs="Arial"/>
                <w:noProof/>
              </w:rPr>
              <w:t>) = a(x</w:t>
            </w:r>
            <w:r w:rsidRPr="00864CE6">
              <w:rPr>
                <w:rFonts w:ascii="Arial" w:eastAsiaTheme="minorHAnsi" w:hAnsi="Arial" w:cs="Arial"/>
                <w:noProof/>
                <w:vertAlign w:val="subscript"/>
              </w:rPr>
              <w:t>1,kt</w:t>
            </w:r>
            <w:r w:rsidRPr="00864CE6">
              <w:rPr>
                <w:rFonts w:ascii="Arial" w:eastAsiaTheme="minorHAnsi" w:hAnsi="Arial" w:cs="Arial"/>
                <w:noProof/>
              </w:rPr>
              <w:t>,...,x</w:t>
            </w:r>
            <w:r w:rsidRPr="00864CE6">
              <w:rPr>
                <w:rFonts w:ascii="Arial" w:eastAsiaTheme="minorHAnsi" w:hAnsi="Arial" w:cs="Arial"/>
                <w:noProof/>
                <w:vertAlign w:val="subscript"/>
              </w:rPr>
              <w:t>n,kt</w:t>
            </w:r>
            <w:r w:rsidRPr="00864CE6">
              <w:rPr>
                <w:rFonts w:ascii="Arial" w:eastAsiaTheme="minorHAnsi" w:hAnsi="Arial" w:cs="Arial"/>
                <w:noProof/>
              </w:rPr>
              <w:t>) + b(t) + ε</w:t>
            </w:r>
            <w:r w:rsidRPr="00864CE6">
              <w:rPr>
                <w:rFonts w:ascii="Arial" w:eastAsiaTheme="minorHAnsi" w:hAnsi="Arial" w:cs="Arial"/>
                <w:noProof/>
                <w:vertAlign w:val="subscript"/>
              </w:rPr>
              <w:t>kt</w:t>
            </w:r>
          </w:p>
        </w:tc>
        <w:tc>
          <w:tcPr>
            <w:tcW w:w="702" w:type="dxa"/>
          </w:tcPr>
          <w:p w:rsidR="00864CE6" w:rsidRDefault="00864CE6" w:rsidP="00261607">
            <w:pPr>
              <w:jc w:val="center"/>
              <w:rPr>
                <w:rFonts w:ascii="Arial" w:hAnsi="Arial" w:cs="Arial"/>
              </w:rPr>
            </w:pPr>
            <w:r>
              <w:rPr>
                <w:rFonts w:ascii="Arial" w:hAnsi="Arial" w:cs="Arial"/>
              </w:rPr>
              <w:t>(4)</w:t>
            </w:r>
          </w:p>
        </w:tc>
      </w:tr>
    </w:tbl>
    <w:p w:rsidR="00864CE6" w:rsidRDefault="00864CE6" w:rsidP="00864CE6">
      <w:pPr>
        <w:jc w:val="center"/>
        <w:rPr>
          <w:rFonts w:ascii="Arial" w:hAnsi="Arial" w:cs="Arial"/>
        </w:rPr>
      </w:pPr>
    </w:p>
    <w:p w:rsidR="00864CE6" w:rsidRDefault="00864CE6" w:rsidP="00F05579">
      <w:pPr>
        <w:jc w:val="both"/>
        <w:rPr>
          <w:rFonts w:ascii="Arial" w:hAnsi="Arial" w:cs="Arial"/>
          <w:noProof/>
        </w:rPr>
      </w:pPr>
      <w:r>
        <w:rPr>
          <w:rFonts w:ascii="Arial" w:hAnsi="Arial" w:cs="Arial"/>
        </w:rPr>
        <w:tab/>
      </w:r>
      <w:r w:rsidR="00630EEF">
        <w:rPr>
          <w:rFonts w:ascii="Arial" w:hAnsi="Arial" w:cs="Arial"/>
        </w:rPr>
        <w:t xml:space="preserve">Neste caso a(.) é uma função, estável ao longo do tempo, das características intrínsecas da obra de arte, b(t) é do tempo sobre o preço de mercado e </w:t>
      </w:r>
      <w:r w:rsidR="00630EEF">
        <w:rPr>
          <w:rFonts w:ascii="Arial" w:hAnsi="Arial" w:cs="Arial"/>
          <w:noProof/>
        </w:rPr>
        <w:t>ε</w:t>
      </w:r>
      <w:r w:rsidR="00630EEF" w:rsidRPr="00A81D14">
        <w:rPr>
          <w:rFonts w:ascii="Arial" w:hAnsi="Arial" w:cs="Arial"/>
          <w:noProof/>
          <w:vertAlign w:val="subscript"/>
        </w:rPr>
        <w:t>kt</w:t>
      </w:r>
      <w:r w:rsidR="00630EEF">
        <w:rPr>
          <w:rFonts w:ascii="Arial" w:hAnsi="Arial" w:cs="Arial"/>
          <w:noProof/>
        </w:rPr>
        <w:t xml:space="preserve"> é o erro da regressão, com média zero e variância constante.</w:t>
      </w:r>
    </w:p>
    <w:p w:rsidR="00630EEF" w:rsidRDefault="00630EEF" w:rsidP="00F05579">
      <w:pPr>
        <w:jc w:val="both"/>
        <w:rPr>
          <w:rFonts w:ascii="Arial" w:hAnsi="Arial" w:cs="Arial"/>
          <w:noProof/>
        </w:rPr>
      </w:pPr>
      <w:r>
        <w:rPr>
          <w:rFonts w:ascii="Arial" w:hAnsi="Arial" w:cs="Arial"/>
          <w:noProof/>
        </w:rPr>
        <w:tab/>
        <w:t xml:space="preserve">De acordo com </w:t>
      </w:r>
      <w:r w:rsidRPr="00886796">
        <w:rPr>
          <w:rFonts w:ascii="Arial" w:hAnsi="Arial" w:cs="Arial"/>
          <w:noProof/>
        </w:rPr>
        <w:t>Hodgson y Vorkirk (2004)</w:t>
      </w:r>
      <w:r>
        <w:rPr>
          <w:rFonts w:ascii="Arial" w:hAnsi="Arial" w:cs="Arial"/>
          <w:noProof/>
        </w:rPr>
        <w:t>, podemos separar os preços implícitos das características das obras de arte dos coeficientes temporais, resultando a seguinte equação de preços hedônicos.</w:t>
      </w:r>
    </w:p>
    <w:p w:rsidR="00630EEF" w:rsidRDefault="00630EEF" w:rsidP="00F05579">
      <w:pPr>
        <w:jc w:val="both"/>
        <w:rPr>
          <w:rFonts w:ascii="Arial" w:hAnsi="Arial" w:cs="Arial"/>
          <w:noProo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
      </w:tblGrid>
      <w:tr w:rsidR="00630EEF" w:rsidTr="00261607">
        <w:tc>
          <w:tcPr>
            <w:tcW w:w="8359" w:type="dxa"/>
          </w:tcPr>
          <w:p w:rsidR="00630EEF" w:rsidRPr="00864CE6" w:rsidRDefault="00630EEF" w:rsidP="00261607">
            <w:pPr>
              <w:spacing w:line="360" w:lineRule="auto"/>
              <w:jc w:val="center"/>
              <w:rPr>
                <w:rFonts w:ascii="Arial" w:eastAsiaTheme="minorHAnsi" w:hAnsi="Arial" w:cs="Arial"/>
                <w:noProof/>
              </w:rPr>
            </w:pPr>
            <w:r>
              <w:rPr>
                <w:rFonts w:ascii="Arial" w:hAnsi="Arial" w:cs="Arial"/>
                <w:noProof/>
              </w:rPr>
              <w:t>ln(p</w:t>
            </w:r>
            <w:r w:rsidRPr="00A81D14">
              <w:rPr>
                <w:rFonts w:ascii="Arial" w:hAnsi="Arial" w:cs="Arial"/>
                <w:noProof/>
                <w:vertAlign w:val="subscript"/>
              </w:rPr>
              <w:t>kt</w:t>
            </w:r>
            <w:r>
              <w:rPr>
                <w:rFonts w:ascii="Arial" w:hAnsi="Arial" w:cs="Arial"/>
                <w:noProof/>
              </w:rPr>
              <w:t xml:space="preserve">) = </w:t>
            </w:r>
            <m:oMath>
              <m:nary>
                <m:naryPr>
                  <m:chr m:val="∑"/>
                  <m:limLoc m:val="undOvr"/>
                  <m:ctrlPr>
                    <w:rPr>
                      <w:rFonts w:ascii="Cambria Math" w:hAnsi="Cambria Math" w:cs="Arial"/>
                      <w:i/>
                      <w:noProof/>
                    </w:rPr>
                  </m:ctrlPr>
                </m:naryPr>
                <m:sub>
                  <m:r>
                    <m:rPr>
                      <m:nor/>
                    </m:rPr>
                    <w:rPr>
                      <w:rFonts w:ascii="Arial" w:hAnsi="Arial" w:cs="Arial"/>
                      <w:noProof/>
                    </w:rPr>
                    <m:t>n = 1</m:t>
                  </m:r>
                </m:sub>
                <m:sup>
                  <m:r>
                    <m:rPr>
                      <m:nor/>
                    </m:rPr>
                    <w:rPr>
                      <w:rFonts w:ascii="Arial" w:hAnsi="Arial" w:cs="Arial"/>
                      <w:noProof/>
                    </w:rPr>
                    <m:t>n</m:t>
                  </m:r>
                </m:sup>
                <m:e>
                  <m:sSub>
                    <m:sSubPr>
                      <m:ctrlPr>
                        <w:rPr>
                          <w:rFonts w:ascii="Cambria Math" w:hAnsi="Cambria Math" w:cs="Arial"/>
                          <w:i/>
                          <w:noProof/>
                        </w:rPr>
                      </m:ctrlPr>
                    </m:sSubPr>
                    <m:e>
                      <m:r>
                        <m:rPr>
                          <m:nor/>
                        </m:rPr>
                        <w:rPr>
                          <w:rFonts w:ascii="Arial" w:hAnsi="Arial" w:cs="Arial"/>
                          <w:noProof/>
                        </w:rPr>
                        <m:t>a</m:t>
                      </m:r>
                    </m:e>
                    <m:sub>
                      <m:r>
                        <m:rPr>
                          <m:nor/>
                        </m:rPr>
                        <w:rPr>
                          <w:rFonts w:ascii="Arial" w:hAnsi="Arial" w:cs="Arial"/>
                          <w:noProof/>
                        </w:rPr>
                        <m:t>n</m:t>
                      </m:r>
                    </m:sub>
                  </m:sSub>
                  <m:sSub>
                    <m:sSubPr>
                      <m:ctrlPr>
                        <w:rPr>
                          <w:rFonts w:ascii="Cambria Math" w:hAnsi="Cambria Math" w:cs="Arial"/>
                          <w:i/>
                          <w:noProof/>
                        </w:rPr>
                      </m:ctrlPr>
                    </m:sSubPr>
                    <m:e>
                      <m:r>
                        <m:rPr>
                          <m:nor/>
                        </m:rPr>
                        <w:rPr>
                          <w:rFonts w:ascii="Arial" w:hAnsi="Arial" w:cs="Arial"/>
                          <w:noProof/>
                        </w:rPr>
                        <m:t>x</m:t>
                      </m:r>
                    </m:e>
                    <m:sub>
                      <m:r>
                        <m:rPr>
                          <m:nor/>
                        </m:rPr>
                        <w:rPr>
                          <w:rFonts w:ascii="Arial" w:hAnsi="Arial" w:cs="Arial"/>
                          <w:noProof/>
                        </w:rPr>
                        <m:t>nkt</m:t>
                      </m:r>
                    </m:sub>
                  </m:sSub>
                </m:e>
              </m:nary>
              <m:r>
                <w:rPr>
                  <w:rFonts w:ascii="Cambria Math" w:hAnsi="Cambria Math" w:cs="Arial"/>
                  <w:noProof/>
                </w:rPr>
                <m:t xml:space="preserve">+ </m:t>
              </m:r>
              <m:nary>
                <m:naryPr>
                  <m:chr m:val="∑"/>
                  <m:limLoc m:val="undOvr"/>
                  <m:ctrlPr>
                    <w:rPr>
                      <w:rFonts w:ascii="Cambria Math" w:hAnsi="Cambria Math" w:cs="Arial"/>
                      <w:i/>
                      <w:noProof/>
                    </w:rPr>
                  </m:ctrlPr>
                </m:naryPr>
                <m:sub>
                  <m:r>
                    <m:rPr>
                      <m:nor/>
                    </m:rPr>
                    <w:rPr>
                      <w:rFonts w:ascii="Arial" w:hAnsi="Arial" w:cs="Arial"/>
                      <w:noProof/>
                    </w:rPr>
                    <m:t>t = 1</m:t>
                  </m:r>
                </m:sub>
                <m:sup>
                  <m:r>
                    <m:rPr>
                      <m:nor/>
                    </m:rPr>
                    <w:rPr>
                      <w:rFonts w:ascii="Arial" w:hAnsi="Arial" w:cs="Arial"/>
                      <w:noProof/>
                    </w:rPr>
                    <m:t>T</m:t>
                  </m:r>
                </m:sup>
                <m:e>
                  <m:sSub>
                    <m:sSubPr>
                      <m:ctrlPr>
                        <w:rPr>
                          <w:rFonts w:ascii="Cambria Math" w:hAnsi="Cambria Math" w:cs="Arial"/>
                          <w:i/>
                          <w:noProof/>
                        </w:rPr>
                      </m:ctrlPr>
                    </m:sSubPr>
                    <m:e>
                      <m:r>
                        <m:rPr>
                          <m:nor/>
                        </m:rPr>
                        <w:rPr>
                          <w:rFonts w:ascii="Arial" w:hAnsi="Arial" w:cs="Arial"/>
                          <w:noProof/>
                        </w:rPr>
                        <m:t>β</m:t>
                      </m:r>
                    </m:e>
                    <m:sub>
                      <m:r>
                        <m:rPr>
                          <m:nor/>
                        </m:rPr>
                        <w:rPr>
                          <w:rFonts w:ascii="Arial" w:hAnsi="Arial" w:cs="Arial"/>
                          <w:noProof/>
                        </w:rPr>
                        <m:t>t</m:t>
                      </m:r>
                    </m:sub>
                  </m:sSub>
                  <m:sSub>
                    <m:sSubPr>
                      <m:ctrlPr>
                        <w:rPr>
                          <w:rFonts w:ascii="Cambria Math" w:hAnsi="Cambria Math" w:cs="Arial"/>
                          <w:i/>
                          <w:noProof/>
                        </w:rPr>
                      </m:ctrlPr>
                    </m:sSubPr>
                    <m:e>
                      <m:r>
                        <m:rPr>
                          <m:nor/>
                        </m:rPr>
                        <w:rPr>
                          <w:rFonts w:ascii="Arial" w:hAnsi="Arial" w:cs="Arial"/>
                          <w:noProof/>
                        </w:rPr>
                        <m:t>Z</m:t>
                      </m:r>
                    </m:e>
                    <m:sub>
                      <m:r>
                        <m:rPr>
                          <m:nor/>
                        </m:rPr>
                        <w:rPr>
                          <w:rFonts w:ascii="Arial" w:hAnsi="Arial" w:cs="Arial"/>
                          <w:noProof/>
                        </w:rPr>
                        <m:t>t</m:t>
                      </m:r>
                    </m:sub>
                  </m:sSub>
                </m:e>
              </m:nary>
              <m:r>
                <w:rPr>
                  <w:rFonts w:ascii="Cambria Math" w:hAnsi="Cambria Math" w:cs="Arial"/>
                  <w:noProof/>
                </w:rPr>
                <m:t xml:space="preserve">+ </m:t>
              </m:r>
              <m:sSub>
                <m:sSubPr>
                  <m:ctrlPr>
                    <w:rPr>
                      <w:rFonts w:ascii="Cambria Math" w:hAnsi="Cambria Math" w:cs="Arial"/>
                      <w:i/>
                      <w:noProof/>
                    </w:rPr>
                  </m:ctrlPr>
                </m:sSubPr>
                <m:e>
                  <m:r>
                    <m:rPr>
                      <m:nor/>
                    </m:rPr>
                    <w:rPr>
                      <w:rFonts w:ascii="Arial" w:hAnsi="Arial" w:cs="Arial"/>
                      <w:noProof/>
                    </w:rPr>
                    <m:t>ε</m:t>
                  </m:r>
                </m:e>
                <m:sub>
                  <m:r>
                    <m:rPr>
                      <m:nor/>
                    </m:rPr>
                    <w:rPr>
                      <w:rFonts w:ascii="Arial" w:hAnsi="Arial" w:cs="Arial"/>
                      <w:noProof/>
                    </w:rPr>
                    <m:t>kt</m:t>
                  </m:r>
                </m:sub>
              </m:sSub>
            </m:oMath>
          </w:p>
        </w:tc>
        <w:tc>
          <w:tcPr>
            <w:tcW w:w="702" w:type="dxa"/>
          </w:tcPr>
          <w:p w:rsidR="00630EEF" w:rsidRDefault="00630EEF" w:rsidP="00261607">
            <w:pPr>
              <w:jc w:val="center"/>
              <w:rPr>
                <w:rFonts w:ascii="Arial" w:hAnsi="Arial" w:cs="Arial"/>
              </w:rPr>
            </w:pPr>
            <w:r>
              <w:rPr>
                <w:rFonts w:ascii="Arial" w:hAnsi="Arial" w:cs="Arial"/>
              </w:rPr>
              <w:t>(5)</w:t>
            </w:r>
          </w:p>
        </w:tc>
      </w:tr>
    </w:tbl>
    <w:p w:rsidR="00044D80" w:rsidRDefault="00044D80" w:rsidP="00F05579">
      <w:pPr>
        <w:jc w:val="both"/>
        <w:rPr>
          <w:rFonts w:ascii="Arial" w:hAnsi="Arial" w:cs="Arial"/>
        </w:rPr>
      </w:pPr>
    </w:p>
    <w:p w:rsidR="00630EEF" w:rsidRDefault="00044D80" w:rsidP="00F05579">
      <w:pPr>
        <w:jc w:val="both"/>
        <w:rPr>
          <w:rFonts w:ascii="Arial" w:hAnsi="Arial" w:cs="Arial"/>
        </w:rPr>
      </w:pPr>
      <w:r>
        <w:rPr>
          <w:rFonts w:ascii="Arial" w:hAnsi="Arial" w:cs="Arial"/>
        </w:rPr>
        <w:tab/>
        <w:t>Onde a</w:t>
      </w:r>
      <w:r>
        <w:rPr>
          <w:rFonts w:ascii="Arial" w:hAnsi="Arial" w:cs="Arial"/>
          <w:vertAlign w:val="subscript"/>
        </w:rPr>
        <w:t>n</w:t>
      </w:r>
      <w:r>
        <w:rPr>
          <w:rFonts w:ascii="Arial" w:hAnsi="Arial" w:cs="Arial"/>
        </w:rPr>
        <w:t xml:space="preserve"> são os parâmetros estimados para os preços implícitos das obras vendidas, Z</w:t>
      </w:r>
      <w:r>
        <w:rPr>
          <w:rFonts w:ascii="Arial" w:hAnsi="Arial" w:cs="Arial"/>
          <w:vertAlign w:val="subscript"/>
        </w:rPr>
        <w:t>t</w:t>
      </w:r>
      <w:r>
        <w:rPr>
          <w:rFonts w:ascii="Arial" w:hAnsi="Arial" w:cs="Arial"/>
        </w:rPr>
        <w:t xml:space="preserve"> é uma variável binária que assume valor 1 se a obra foi negociada no ano t e 0 caso contrário e β</w:t>
      </w:r>
      <w:r>
        <w:rPr>
          <w:rFonts w:ascii="Arial" w:hAnsi="Arial" w:cs="Arial"/>
          <w:vertAlign w:val="subscript"/>
        </w:rPr>
        <w:t>t</w:t>
      </w:r>
      <w:r>
        <w:rPr>
          <w:rFonts w:ascii="Arial" w:hAnsi="Arial" w:cs="Arial"/>
        </w:rPr>
        <w:t xml:space="preserve"> os parâmetros das variáveis temporais.</w:t>
      </w:r>
    </w:p>
    <w:p w:rsidR="00044D80" w:rsidRDefault="00044D80" w:rsidP="00F05579">
      <w:pPr>
        <w:jc w:val="both"/>
        <w:rPr>
          <w:rFonts w:ascii="Arial" w:hAnsi="Arial" w:cs="Arial"/>
          <w:noProof/>
        </w:rPr>
      </w:pPr>
      <w:r>
        <w:rPr>
          <w:rFonts w:ascii="Arial" w:hAnsi="Arial" w:cs="Arial"/>
        </w:rPr>
        <w:tab/>
        <w:t>Usando o método dos mínimos quadrados é possível estimar os parâmetros a</w:t>
      </w:r>
      <w:r>
        <w:rPr>
          <w:rFonts w:ascii="Arial" w:hAnsi="Arial" w:cs="Arial"/>
          <w:vertAlign w:val="subscript"/>
        </w:rPr>
        <w:t>n</w:t>
      </w:r>
      <w:r>
        <w:rPr>
          <w:rFonts w:ascii="Arial" w:hAnsi="Arial" w:cs="Arial"/>
        </w:rPr>
        <w:t xml:space="preserve"> e β</w:t>
      </w:r>
      <w:r>
        <w:rPr>
          <w:rFonts w:ascii="Arial" w:hAnsi="Arial" w:cs="Arial"/>
          <w:vertAlign w:val="subscript"/>
        </w:rPr>
        <w:t>t</w:t>
      </w:r>
      <w:r>
        <w:rPr>
          <w:rFonts w:ascii="Arial" w:hAnsi="Arial" w:cs="Arial"/>
        </w:rPr>
        <w:t xml:space="preserve"> da equação de preços hedônicos. Os parâmetros temporais β</w:t>
      </w:r>
      <w:r>
        <w:rPr>
          <w:rFonts w:ascii="Arial" w:hAnsi="Arial" w:cs="Arial"/>
          <w:vertAlign w:val="subscript"/>
        </w:rPr>
        <w:t>t</w:t>
      </w:r>
      <w:r>
        <w:rPr>
          <w:rFonts w:ascii="Arial" w:hAnsi="Arial" w:cs="Arial"/>
        </w:rPr>
        <w:t xml:space="preserve"> são, de acordo com </w:t>
      </w:r>
      <w:r w:rsidRPr="00FF1884">
        <w:rPr>
          <w:rFonts w:ascii="Arial" w:hAnsi="Arial" w:cs="Arial"/>
          <w:noProof/>
        </w:rPr>
        <w:t>Renneboog y Spaenjers (2012)</w:t>
      </w:r>
      <w:r>
        <w:rPr>
          <w:rFonts w:ascii="Arial" w:hAnsi="Arial" w:cs="Arial"/>
          <w:noProof/>
        </w:rPr>
        <w:t>, os índices hedônicos de preços, procedendo-se a seguinte transformação.</w:t>
      </w:r>
    </w:p>
    <w:p w:rsidR="00044D80" w:rsidRDefault="00044D80" w:rsidP="00F05579">
      <w:pPr>
        <w:jc w:val="both"/>
        <w:rPr>
          <w:rFonts w:ascii="Arial" w:hAnsi="Arial" w:cs="Arial"/>
          <w:noProo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
      </w:tblGrid>
      <w:tr w:rsidR="00044D80" w:rsidTr="00261607">
        <w:tc>
          <w:tcPr>
            <w:tcW w:w="8359" w:type="dxa"/>
          </w:tcPr>
          <w:p w:rsidR="00044D80" w:rsidRPr="00044D80" w:rsidRDefault="00110287" w:rsidP="00044D80">
            <w:pPr>
              <w:spacing w:line="360" w:lineRule="auto"/>
              <w:jc w:val="center"/>
              <w:rPr>
                <w:rFonts w:ascii="Arial" w:eastAsiaTheme="minorHAnsi" w:hAnsi="Arial" w:cs="Arial"/>
                <w:noProof/>
              </w:rPr>
            </w:pPr>
            <m:oMathPara>
              <m:oMath>
                <m:sSub>
                  <m:sSubPr>
                    <m:ctrlPr>
                      <w:rPr>
                        <w:rFonts w:ascii="Cambria Math" w:eastAsiaTheme="minorHAnsi" w:hAnsi="Cambria Math" w:cs="Arial"/>
                        <w:i/>
                        <w:noProof/>
                      </w:rPr>
                    </m:ctrlPr>
                  </m:sSubPr>
                  <m:e>
                    <m:r>
                      <m:rPr>
                        <m:nor/>
                      </m:rPr>
                      <w:rPr>
                        <w:rFonts w:ascii="Arial" w:eastAsiaTheme="minorHAnsi" w:hAnsi="Arial" w:cs="Arial"/>
                        <w:noProof/>
                      </w:rPr>
                      <m:t>I</m:t>
                    </m:r>
                  </m:e>
                  <m:sub>
                    <m:r>
                      <m:rPr>
                        <m:nor/>
                      </m:rPr>
                      <w:rPr>
                        <w:rFonts w:ascii="Arial" w:eastAsiaTheme="minorHAnsi" w:hAnsi="Arial" w:cs="Arial"/>
                        <w:noProof/>
                      </w:rPr>
                      <m:t>t</m:t>
                    </m:r>
                  </m:sub>
                </m:sSub>
                <m:r>
                  <m:rPr>
                    <m:nor/>
                  </m:rPr>
                  <w:rPr>
                    <w:rFonts w:ascii="Arial" w:eastAsiaTheme="minorHAnsi" w:hAnsi="Arial" w:cs="Arial"/>
                    <w:noProof/>
                  </w:rPr>
                  <m:t xml:space="preserve"> = </m:t>
                </m:r>
                <m:sSup>
                  <m:sSupPr>
                    <m:ctrlPr>
                      <w:rPr>
                        <w:rFonts w:ascii="Cambria Math" w:eastAsiaTheme="minorHAnsi" w:hAnsi="Cambria Math" w:cs="Arial"/>
                        <w:i/>
                        <w:noProof/>
                      </w:rPr>
                    </m:ctrlPr>
                  </m:sSupPr>
                  <m:e>
                    <m:r>
                      <m:rPr>
                        <m:nor/>
                      </m:rPr>
                      <w:rPr>
                        <w:rFonts w:ascii="Arial" w:eastAsiaTheme="minorHAnsi" w:hAnsi="Arial" w:cs="Arial"/>
                        <w:noProof/>
                      </w:rPr>
                      <m:t>e</m:t>
                    </m:r>
                  </m:e>
                  <m:sup>
                    <m:r>
                      <m:rPr>
                        <m:nor/>
                      </m:rPr>
                      <w:rPr>
                        <w:rFonts w:ascii="Arial" w:eastAsiaTheme="minorHAnsi" w:hAnsi="Arial" w:cs="Arial"/>
                        <w:noProof/>
                      </w:rPr>
                      <m:t>βt</m:t>
                    </m:r>
                  </m:sup>
                </m:sSup>
                <m:r>
                  <m:rPr>
                    <m:nor/>
                  </m:rPr>
                  <w:rPr>
                    <w:rFonts w:ascii="Arial" w:eastAsiaTheme="minorHAnsi" w:hAnsi="Arial" w:cs="Arial"/>
                    <w:noProof/>
                  </w:rPr>
                  <m:t xml:space="preserve"> x 100</m:t>
                </m:r>
              </m:oMath>
            </m:oMathPara>
          </w:p>
        </w:tc>
        <w:tc>
          <w:tcPr>
            <w:tcW w:w="702" w:type="dxa"/>
          </w:tcPr>
          <w:p w:rsidR="00044D80" w:rsidRDefault="00044D80" w:rsidP="00261607">
            <w:pPr>
              <w:jc w:val="center"/>
              <w:rPr>
                <w:rFonts w:ascii="Arial" w:hAnsi="Arial" w:cs="Arial"/>
              </w:rPr>
            </w:pPr>
            <w:r>
              <w:rPr>
                <w:rFonts w:ascii="Arial" w:hAnsi="Arial" w:cs="Arial"/>
              </w:rPr>
              <w:t>(6)</w:t>
            </w:r>
          </w:p>
        </w:tc>
      </w:tr>
    </w:tbl>
    <w:p w:rsidR="00044D80" w:rsidRDefault="00261607" w:rsidP="00F05579">
      <w:pPr>
        <w:jc w:val="both"/>
        <w:rPr>
          <w:rFonts w:ascii="Arial" w:hAnsi="Arial" w:cs="Arial"/>
          <w:b/>
        </w:rPr>
      </w:pPr>
      <w:r>
        <w:rPr>
          <w:rFonts w:ascii="Arial" w:hAnsi="Arial" w:cs="Arial"/>
          <w:b/>
        </w:rPr>
        <w:t>3.3 Variáveis hedônicas</w:t>
      </w:r>
    </w:p>
    <w:p w:rsidR="00261607" w:rsidRDefault="00261607" w:rsidP="00F05579">
      <w:pPr>
        <w:jc w:val="both"/>
        <w:rPr>
          <w:rFonts w:ascii="Arial" w:hAnsi="Arial" w:cs="Arial"/>
          <w:b/>
        </w:rPr>
      </w:pPr>
    </w:p>
    <w:p w:rsidR="00261607" w:rsidRDefault="00261607" w:rsidP="00F05579">
      <w:pPr>
        <w:jc w:val="both"/>
        <w:rPr>
          <w:rFonts w:ascii="Arial" w:hAnsi="Arial" w:cs="Arial"/>
        </w:rPr>
      </w:pPr>
      <w:r>
        <w:rPr>
          <w:rFonts w:ascii="Arial" w:hAnsi="Arial" w:cs="Arial"/>
          <w:b/>
        </w:rPr>
        <w:tab/>
      </w:r>
      <w:r>
        <w:rPr>
          <w:rFonts w:ascii="Arial" w:hAnsi="Arial" w:cs="Arial"/>
        </w:rPr>
        <w:t>Para inferir a função de preços hedônicos, foram adotadas as seguintes variáveis:</w:t>
      </w:r>
    </w:p>
    <w:p w:rsidR="00261607" w:rsidRDefault="00261607" w:rsidP="00F05579">
      <w:pPr>
        <w:jc w:val="both"/>
        <w:rPr>
          <w:rFonts w:ascii="Arial" w:hAnsi="Arial" w:cs="Arial"/>
        </w:rPr>
      </w:pPr>
    </w:p>
    <w:p w:rsidR="00261607" w:rsidRDefault="00261607" w:rsidP="00F05579">
      <w:pPr>
        <w:jc w:val="both"/>
        <w:rPr>
          <w:rFonts w:ascii="Arial" w:hAnsi="Arial" w:cs="Arial"/>
        </w:rPr>
      </w:pPr>
      <w:r>
        <w:rPr>
          <w:rFonts w:ascii="Arial" w:hAnsi="Arial" w:cs="Arial"/>
        </w:rPr>
        <w:tab/>
        <w:t>Preço: preço de transação da obra, em U$ nominais, ou seja, sem correção pela inflação;</w:t>
      </w:r>
    </w:p>
    <w:p w:rsidR="00261607" w:rsidRDefault="00261607" w:rsidP="00F05579">
      <w:pPr>
        <w:jc w:val="both"/>
        <w:rPr>
          <w:rFonts w:ascii="Arial" w:hAnsi="Arial" w:cs="Arial"/>
        </w:rPr>
      </w:pPr>
      <w:r>
        <w:rPr>
          <w:rFonts w:ascii="Arial" w:hAnsi="Arial" w:cs="Arial"/>
        </w:rPr>
        <w:tab/>
        <w:t>Área: área da obra, em cm</w:t>
      </w:r>
      <w:r>
        <w:rPr>
          <w:rFonts w:ascii="Arial" w:hAnsi="Arial" w:cs="Arial"/>
          <w:vertAlign w:val="superscript"/>
        </w:rPr>
        <w:t>2</w:t>
      </w:r>
      <w:r>
        <w:rPr>
          <w:rFonts w:ascii="Arial" w:hAnsi="Arial" w:cs="Arial"/>
        </w:rPr>
        <w:t>;</w:t>
      </w:r>
    </w:p>
    <w:p w:rsidR="00261607" w:rsidRDefault="00261607" w:rsidP="00F05579">
      <w:pPr>
        <w:jc w:val="both"/>
        <w:rPr>
          <w:rFonts w:ascii="Arial" w:hAnsi="Arial" w:cs="Arial"/>
        </w:rPr>
      </w:pPr>
      <w:r>
        <w:rPr>
          <w:rFonts w:ascii="Arial" w:hAnsi="Arial" w:cs="Arial"/>
        </w:rPr>
        <w:tab/>
        <w:t>Assinado: variável binária que assume valor 1 se a obra é assinada e 0 em caso contrário;</w:t>
      </w:r>
    </w:p>
    <w:p w:rsidR="00261607" w:rsidRDefault="00261607" w:rsidP="00F05579">
      <w:pPr>
        <w:jc w:val="both"/>
        <w:rPr>
          <w:rFonts w:ascii="Arial" w:hAnsi="Arial" w:cs="Arial"/>
        </w:rPr>
      </w:pPr>
      <w:r>
        <w:rPr>
          <w:rFonts w:ascii="Arial" w:hAnsi="Arial" w:cs="Arial"/>
        </w:rPr>
        <w:tab/>
        <w:t>Estimativa: estimativa de valor para a obra, efetuada pela casa de leilões. Em casos onde havia limites inferior e superior, adotou-se o valor médio;</w:t>
      </w:r>
    </w:p>
    <w:p w:rsidR="00261607" w:rsidRDefault="00261607" w:rsidP="00F05579">
      <w:pPr>
        <w:jc w:val="both"/>
        <w:rPr>
          <w:rFonts w:ascii="Arial" w:hAnsi="Arial" w:cs="Arial"/>
        </w:rPr>
      </w:pPr>
      <w:r>
        <w:rPr>
          <w:rFonts w:ascii="Arial" w:hAnsi="Arial" w:cs="Arial"/>
        </w:rPr>
        <w:tab/>
        <w:t>Lote: Número do lote do leilão;</w:t>
      </w:r>
    </w:p>
    <w:p w:rsidR="00500D7C" w:rsidRDefault="00500D7C" w:rsidP="00F05579">
      <w:pPr>
        <w:jc w:val="both"/>
        <w:rPr>
          <w:rFonts w:ascii="Arial" w:hAnsi="Arial" w:cs="Arial"/>
        </w:rPr>
      </w:pPr>
      <w:r>
        <w:rPr>
          <w:rFonts w:ascii="Arial" w:hAnsi="Arial" w:cs="Arial"/>
        </w:rPr>
        <w:tab/>
        <w:t>Gravura: variável binária que assume valor 1 se a obra é uma gravura e 0 caso contrário;</w:t>
      </w:r>
    </w:p>
    <w:p w:rsidR="00500D7C" w:rsidRDefault="00500D7C" w:rsidP="00F05579">
      <w:pPr>
        <w:jc w:val="both"/>
        <w:rPr>
          <w:rFonts w:ascii="Arial" w:hAnsi="Arial" w:cs="Arial"/>
        </w:rPr>
      </w:pPr>
      <w:r>
        <w:rPr>
          <w:rFonts w:ascii="Arial" w:hAnsi="Arial" w:cs="Arial"/>
        </w:rPr>
        <w:tab/>
        <w:t>Pintura: variável binária que assume valor 1 se a obra é uma pintura e 0 caso contrário;</w:t>
      </w:r>
    </w:p>
    <w:p w:rsidR="00500D7C" w:rsidRDefault="00500D7C" w:rsidP="00F05579">
      <w:pPr>
        <w:jc w:val="both"/>
        <w:rPr>
          <w:rFonts w:ascii="Arial" w:hAnsi="Arial" w:cs="Arial"/>
        </w:rPr>
      </w:pPr>
      <w:r>
        <w:rPr>
          <w:rFonts w:ascii="Arial" w:hAnsi="Arial" w:cs="Arial"/>
        </w:rPr>
        <w:tab/>
        <w:t>Desenho: variável binária que assume valor 1 se a obra é um desenho e 0 caso contrário;</w:t>
      </w:r>
    </w:p>
    <w:p w:rsidR="00261607" w:rsidRDefault="00261607" w:rsidP="00F05579">
      <w:pPr>
        <w:jc w:val="both"/>
        <w:rPr>
          <w:rFonts w:ascii="Arial" w:hAnsi="Arial" w:cs="Arial"/>
        </w:rPr>
      </w:pPr>
      <w:r>
        <w:rPr>
          <w:rFonts w:ascii="Arial" w:hAnsi="Arial" w:cs="Arial"/>
        </w:rPr>
        <w:tab/>
        <w:t>EUA: variável binária que assume valor 1 se a obra foi vendida nos EUA e 0 caso contrário;</w:t>
      </w:r>
    </w:p>
    <w:p w:rsidR="00261607" w:rsidRDefault="00261607" w:rsidP="00F05579">
      <w:pPr>
        <w:jc w:val="both"/>
        <w:rPr>
          <w:rFonts w:ascii="Arial" w:hAnsi="Arial" w:cs="Arial"/>
        </w:rPr>
      </w:pPr>
      <w:r>
        <w:rPr>
          <w:rFonts w:ascii="Arial" w:hAnsi="Arial" w:cs="Arial"/>
        </w:rPr>
        <w:tab/>
        <w:t>Inglaterra: variável binária que assume valor 1 se a obra foi vendida na Inglaterra e 0 caso contrário;</w:t>
      </w:r>
    </w:p>
    <w:p w:rsidR="00261607" w:rsidRDefault="00261607" w:rsidP="00F05579">
      <w:pPr>
        <w:jc w:val="both"/>
        <w:rPr>
          <w:rFonts w:ascii="Arial" w:hAnsi="Arial" w:cs="Arial"/>
        </w:rPr>
      </w:pPr>
      <w:r>
        <w:rPr>
          <w:rFonts w:ascii="Arial" w:hAnsi="Arial" w:cs="Arial"/>
        </w:rPr>
        <w:tab/>
        <w:t>França: variável binária que assume valor 1 se a obra foi vendida na França e 0 caso contrário;</w:t>
      </w:r>
    </w:p>
    <w:p w:rsidR="00261607" w:rsidRDefault="00261607" w:rsidP="00F05579">
      <w:pPr>
        <w:jc w:val="both"/>
        <w:rPr>
          <w:rFonts w:ascii="Arial" w:hAnsi="Arial" w:cs="Arial"/>
        </w:rPr>
      </w:pPr>
      <w:r>
        <w:rPr>
          <w:rFonts w:ascii="Arial" w:hAnsi="Arial" w:cs="Arial"/>
        </w:rPr>
        <w:tab/>
        <w:t>Ano_2018 a Ano_2001: variáveis binárias relativas ao ano de venda da obra, assumindo valor 1 caso a obra tenha sido vendida naquele ano e 0 caso contrário.</w:t>
      </w:r>
    </w:p>
    <w:p w:rsidR="00A90F05" w:rsidRDefault="00A90F05" w:rsidP="00F05579">
      <w:pPr>
        <w:jc w:val="both"/>
        <w:rPr>
          <w:rFonts w:ascii="Arial" w:hAnsi="Arial" w:cs="Arial"/>
        </w:rPr>
      </w:pPr>
    </w:p>
    <w:p w:rsidR="00A90F05" w:rsidRPr="00261607" w:rsidRDefault="00A90F05" w:rsidP="00F05579">
      <w:pPr>
        <w:jc w:val="both"/>
        <w:rPr>
          <w:rFonts w:ascii="Arial" w:hAnsi="Arial" w:cs="Arial"/>
        </w:rPr>
      </w:pPr>
      <w:r>
        <w:rPr>
          <w:rFonts w:ascii="Arial" w:hAnsi="Arial" w:cs="Arial"/>
        </w:rPr>
        <w:tab/>
        <w:t>Para o caso de aquarelas, as variáveis Gravura, Pintura e Desenho assumem simultaneamente o valor 0. Para o caso da obra ter sido leiloada em outros países, as variáveis EUA, Inglaterra e França assumem simultaneamente valor 0. E para caso de obras leiloadas em 2000, as variáveis temporais assumem todas valor 0.</w:t>
      </w:r>
      <w:r w:rsidR="00355AC0">
        <w:rPr>
          <w:rFonts w:ascii="Arial" w:hAnsi="Arial" w:cs="Arial"/>
        </w:rPr>
        <w:t xml:space="preserve"> Este procedimento visa prevenir perturbações no modelo devido a existência de multicolinearidade.</w:t>
      </w:r>
    </w:p>
    <w:p w:rsidR="00864CE6" w:rsidRPr="00A86C9C" w:rsidRDefault="00864CE6" w:rsidP="00F05579">
      <w:pPr>
        <w:jc w:val="both"/>
        <w:rPr>
          <w:rFonts w:ascii="Arial" w:hAnsi="Arial" w:cs="Arial"/>
        </w:rPr>
      </w:pPr>
    </w:p>
    <w:p w:rsidR="00D93C27" w:rsidRDefault="00D93C27" w:rsidP="00100E23">
      <w:pPr>
        <w:jc w:val="both"/>
        <w:rPr>
          <w:rFonts w:ascii="Arial" w:hAnsi="Arial" w:cs="Arial"/>
        </w:rPr>
      </w:pPr>
    </w:p>
    <w:p w:rsidR="001C2996" w:rsidRDefault="004421E7" w:rsidP="00100E23">
      <w:pPr>
        <w:jc w:val="both"/>
        <w:rPr>
          <w:rFonts w:ascii="Arial" w:hAnsi="Arial" w:cs="Arial"/>
          <w:b/>
        </w:rPr>
      </w:pPr>
      <w:r>
        <w:rPr>
          <w:rFonts w:ascii="Arial" w:hAnsi="Arial" w:cs="Arial"/>
          <w:b/>
        </w:rPr>
        <w:t xml:space="preserve">4. </w:t>
      </w:r>
      <w:r w:rsidR="00DC5B46">
        <w:rPr>
          <w:rFonts w:ascii="Arial" w:hAnsi="Arial" w:cs="Arial"/>
          <w:b/>
        </w:rPr>
        <w:t>DADOS E DESENVOLIMENTO</w:t>
      </w:r>
    </w:p>
    <w:p w:rsidR="004421E7" w:rsidRDefault="004421E7" w:rsidP="00100E23">
      <w:pPr>
        <w:jc w:val="both"/>
        <w:rPr>
          <w:rFonts w:ascii="Arial" w:hAnsi="Arial" w:cs="Arial"/>
          <w:b/>
        </w:rPr>
      </w:pPr>
    </w:p>
    <w:p w:rsidR="00B12E0A" w:rsidRDefault="00B12E0A" w:rsidP="00100E23">
      <w:pPr>
        <w:jc w:val="both"/>
        <w:rPr>
          <w:rFonts w:ascii="Arial" w:hAnsi="Arial" w:cs="Arial"/>
        </w:rPr>
      </w:pPr>
      <w:r>
        <w:rPr>
          <w:rFonts w:ascii="Arial" w:hAnsi="Arial" w:cs="Arial"/>
          <w:b/>
        </w:rPr>
        <w:tab/>
      </w:r>
      <w:r>
        <w:rPr>
          <w:rFonts w:ascii="Arial" w:hAnsi="Arial" w:cs="Arial"/>
        </w:rPr>
        <w:t>Para a análise deste artigo, foram pesquisados leilões de obras de Henri Matisse no site Artvalue (</w:t>
      </w:r>
      <w:hyperlink r:id="rId8" w:history="1">
        <w:r w:rsidRPr="00CB6EC3">
          <w:rPr>
            <w:rStyle w:val="Hyperlink"/>
            <w:rFonts w:ascii="Arial" w:hAnsi="Arial" w:cs="Arial"/>
          </w:rPr>
          <w:t>www.artvalue.com</w:t>
        </w:r>
      </w:hyperlink>
      <w:r>
        <w:rPr>
          <w:rFonts w:ascii="Arial" w:hAnsi="Arial" w:cs="Arial"/>
        </w:rPr>
        <w:t xml:space="preserve">). Os valores incluem o “buyer’s premiun”, que é a comissão que o </w:t>
      </w:r>
      <w:r w:rsidR="001F6F8F">
        <w:rPr>
          <w:rFonts w:ascii="Arial" w:hAnsi="Arial" w:cs="Arial"/>
        </w:rPr>
        <w:t>comprador</w:t>
      </w:r>
      <w:r>
        <w:rPr>
          <w:rFonts w:ascii="Arial" w:hAnsi="Arial" w:cs="Arial"/>
        </w:rPr>
        <w:t xml:space="preserve"> paga a casa de leilões. Não foi feita a atualização dos valores, e todos eles estão apresentados em dólares americanos (U$).</w:t>
      </w:r>
    </w:p>
    <w:p w:rsidR="00B12E0A" w:rsidRDefault="00B12E0A" w:rsidP="00100E23">
      <w:pPr>
        <w:jc w:val="both"/>
        <w:rPr>
          <w:rFonts w:ascii="Arial" w:hAnsi="Arial" w:cs="Arial"/>
        </w:rPr>
      </w:pPr>
      <w:r>
        <w:rPr>
          <w:rFonts w:ascii="Arial" w:hAnsi="Arial" w:cs="Arial"/>
        </w:rPr>
        <w:tab/>
        <w:t>Foram analisadas 3.370 obras leiloadas</w:t>
      </w:r>
      <w:r w:rsidR="005364AA">
        <w:rPr>
          <w:rFonts w:ascii="Arial" w:hAnsi="Arial" w:cs="Arial"/>
        </w:rPr>
        <w:t>. Considerou-se apenas aquelas nos quais todos os dados estavam presentes no site. Elas estão</w:t>
      </w:r>
      <w:r>
        <w:rPr>
          <w:rFonts w:ascii="Arial" w:hAnsi="Arial" w:cs="Arial"/>
        </w:rPr>
        <w:t xml:space="preserve"> assim distribuídas:</w:t>
      </w:r>
    </w:p>
    <w:p w:rsidR="00B12E0A" w:rsidRDefault="00B12E0A" w:rsidP="00100E23">
      <w:pPr>
        <w:jc w:val="both"/>
        <w:rPr>
          <w:rFonts w:ascii="Arial" w:hAnsi="Arial" w:cs="Arial"/>
        </w:rPr>
      </w:pPr>
    </w:p>
    <w:p w:rsidR="00B12E0A" w:rsidRDefault="00B12E0A" w:rsidP="00100E23">
      <w:pPr>
        <w:jc w:val="both"/>
        <w:rPr>
          <w:rFonts w:ascii="Arial" w:hAnsi="Arial" w:cs="Arial"/>
        </w:rPr>
      </w:pPr>
      <w:r>
        <w:rPr>
          <w:rFonts w:ascii="Arial" w:hAnsi="Arial" w:cs="Arial"/>
        </w:rPr>
        <w:tab/>
        <w:t>- Gravuras: 2.437;</w:t>
      </w:r>
    </w:p>
    <w:p w:rsidR="00B12E0A" w:rsidRDefault="00B12E0A" w:rsidP="00100E23">
      <w:pPr>
        <w:jc w:val="both"/>
        <w:rPr>
          <w:rFonts w:ascii="Arial" w:hAnsi="Arial" w:cs="Arial"/>
        </w:rPr>
      </w:pPr>
      <w:r>
        <w:rPr>
          <w:rFonts w:ascii="Arial" w:hAnsi="Arial" w:cs="Arial"/>
        </w:rPr>
        <w:tab/>
        <w:t>- Pinturas: 188;</w:t>
      </w:r>
    </w:p>
    <w:p w:rsidR="00B12E0A" w:rsidRDefault="00B12E0A" w:rsidP="00100E23">
      <w:pPr>
        <w:jc w:val="both"/>
        <w:rPr>
          <w:rFonts w:ascii="Arial" w:hAnsi="Arial" w:cs="Arial"/>
        </w:rPr>
      </w:pPr>
      <w:r>
        <w:rPr>
          <w:rFonts w:ascii="Arial" w:hAnsi="Arial" w:cs="Arial"/>
        </w:rPr>
        <w:tab/>
        <w:t>- Desenhos: 724;</w:t>
      </w:r>
    </w:p>
    <w:p w:rsidR="00B12E0A" w:rsidRDefault="00B12E0A" w:rsidP="00100E23">
      <w:pPr>
        <w:jc w:val="both"/>
        <w:rPr>
          <w:rFonts w:ascii="Arial" w:hAnsi="Arial" w:cs="Arial"/>
        </w:rPr>
      </w:pPr>
      <w:r>
        <w:rPr>
          <w:rFonts w:ascii="Arial" w:hAnsi="Arial" w:cs="Arial"/>
        </w:rPr>
        <w:tab/>
        <w:t>- Aquarelas: 21.</w:t>
      </w:r>
    </w:p>
    <w:p w:rsidR="004726BE" w:rsidRDefault="004726BE" w:rsidP="00100E23">
      <w:pPr>
        <w:jc w:val="both"/>
        <w:rPr>
          <w:rFonts w:ascii="Arial" w:hAnsi="Arial" w:cs="Arial"/>
        </w:rPr>
      </w:pPr>
    </w:p>
    <w:p w:rsidR="004726BE" w:rsidRDefault="004726BE" w:rsidP="00100E23">
      <w:pPr>
        <w:jc w:val="both"/>
        <w:rPr>
          <w:rFonts w:ascii="Arial" w:hAnsi="Arial" w:cs="Arial"/>
        </w:rPr>
      </w:pPr>
      <w:r>
        <w:rPr>
          <w:rFonts w:ascii="Arial" w:hAnsi="Arial" w:cs="Arial"/>
        </w:rPr>
        <w:tab/>
        <w:t>A seguir, vemos a distribuição das obras de arte analisadas no presente trabalho.</w:t>
      </w:r>
    </w:p>
    <w:p w:rsidR="004726BE" w:rsidRDefault="004726BE" w:rsidP="00100E23">
      <w:pPr>
        <w:jc w:val="both"/>
        <w:rPr>
          <w:rFonts w:ascii="Arial" w:hAnsi="Arial" w:cs="Arial"/>
        </w:rPr>
      </w:pPr>
    </w:p>
    <w:p w:rsidR="004726BE" w:rsidRPr="00B12E0A" w:rsidRDefault="004726BE" w:rsidP="004726BE">
      <w:pPr>
        <w:jc w:val="center"/>
        <w:rPr>
          <w:rFonts w:ascii="Arial" w:hAnsi="Arial" w:cs="Arial"/>
        </w:rPr>
      </w:pPr>
      <w:r>
        <w:rPr>
          <w:rFonts w:ascii="Arial" w:hAnsi="Arial" w:cs="Arial"/>
          <w:noProof/>
        </w:rPr>
        <w:drawing>
          <wp:inline distT="0" distB="0" distL="0" distR="0" wp14:anchorId="57FACD05">
            <wp:extent cx="3891600" cy="2340000"/>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1600" cy="2340000"/>
                    </a:xfrm>
                    <a:prstGeom prst="rect">
                      <a:avLst/>
                    </a:prstGeom>
                    <a:noFill/>
                  </pic:spPr>
                </pic:pic>
              </a:graphicData>
            </a:graphic>
          </wp:inline>
        </w:drawing>
      </w:r>
    </w:p>
    <w:p w:rsidR="007A5146" w:rsidRPr="004726BE" w:rsidRDefault="004726BE" w:rsidP="004726BE">
      <w:pPr>
        <w:jc w:val="center"/>
        <w:rPr>
          <w:rFonts w:ascii="Arial" w:hAnsi="Arial" w:cs="Arial"/>
        </w:rPr>
      </w:pPr>
      <w:r>
        <w:rPr>
          <w:rFonts w:ascii="Arial" w:hAnsi="Arial" w:cs="Arial"/>
          <w:b/>
        </w:rPr>
        <w:t xml:space="preserve">Figura 1: </w:t>
      </w:r>
      <w:r>
        <w:rPr>
          <w:rFonts w:ascii="Arial" w:hAnsi="Arial" w:cs="Arial"/>
        </w:rPr>
        <w:t>Distribuição das obras analisadas</w:t>
      </w:r>
    </w:p>
    <w:p w:rsidR="004726BE" w:rsidRDefault="004726BE" w:rsidP="00564C27">
      <w:pPr>
        <w:jc w:val="both"/>
        <w:rPr>
          <w:rFonts w:ascii="Arial" w:hAnsi="Arial" w:cs="Arial"/>
        </w:rPr>
      </w:pPr>
    </w:p>
    <w:p w:rsidR="004726BE" w:rsidRDefault="00161472" w:rsidP="00564C27">
      <w:pPr>
        <w:jc w:val="both"/>
        <w:rPr>
          <w:rFonts w:ascii="Arial" w:hAnsi="Arial" w:cs="Arial"/>
        </w:rPr>
      </w:pPr>
      <w:r>
        <w:rPr>
          <w:rFonts w:ascii="Arial" w:hAnsi="Arial" w:cs="Arial"/>
        </w:rPr>
        <w:tab/>
      </w:r>
    </w:p>
    <w:p w:rsidR="00161472" w:rsidRDefault="00161472" w:rsidP="00564C27">
      <w:pPr>
        <w:jc w:val="both"/>
        <w:rPr>
          <w:rFonts w:ascii="Arial" w:hAnsi="Arial" w:cs="Arial"/>
        </w:rPr>
      </w:pPr>
      <w:r>
        <w:rPr>
          <w:rFonts w:ascii="Arial" w:hAnsi="Arial" w:cs="Arial"/>
        </w:rPr>
        <w:tab/>
        <w:t xml:space="preserve">Como se depreende da figura acima, gravuras são a grande maioria da nossa amostra, correspondendo a 72%, aproximadamente, do total analisado. Esta preponderância é natural, pois gravuras sãos as obras mais simples, feitas em maior escala e, consequentemente, apresentando os menores valores. Por exemplo, Matisse apresenta gravuras negociadas a valores inferiores a U$ 500,00. Por outro lado, o desenho mais barato na amostra foi negociado a U$ 7.500,00 e a pintura mais barata custou U$ 31.524,00. </w:t>
      </w:r>
    </w:p>
    <w:p w:rsidR="00DD5421" w:rsidRDefault="004073FC" w:rsidP="00564C27">
      <w:pPr>
        <w:jc w:val="both"/>
        <w:rPr>
          <w:rFonts w:ascii="Arial" w:hAnsi="Arial" w:cs="Arial"/>
        </w:rPr>
      </w:pPr>
      <w:r>
        <w:rPr>
          <w:rFonts w:ascii="Arial" w:hAnsi="Arial" w:cs="Arial"/>
        </w:rPr>
        <w:tab/>
        <w:t>Foi feita inicialmente a análise pelo método dos mínimos quadrados ordinários, utilizando o software Gretl – Gnu Regression, Econometrics and Time Series Library. Os resultados estão apresentados a seguir.</w:t>
      </w:r>
    </w:p>
    <w:p w:rsidR="004073FC" w:rsidRDefault="004073FC" w:rsidP="00564C27">
      <w:pPr>
        <w:jc w:val="both"/>
        <w:rPr>
          <w:rFonts w:ascii="Arial" w:hAnsi="Arial" w:cs="Arial"/>
        </w:rPr>
      </w:pPr>
    </w:p>
    <w:p w:rsidR="00755B1E" w:rsidRDefault="00755B1E" w:rsidP="00564C27">
      <w:pPr>
        <w:jc w:val="both"/>
        <w:rPr>
          <w:rFonts w:ascii="Arial" w:hAnsi="Arial" w:cs="Arial"/>
        </w:rPr>
      </w:pPr>
    </w:p>
    <w:p w:rsidR="00755B1E" w:rsidRDefault="00755B1E" w:rsidP="00564C27">
      <w:pPr>
        <w:jc w:val="both"/>
        <w:rPr>
          <w:rFonts w:ascii="Arial" w:hAnsi="Arial" w:cs="Arial"/>
        </w:rPr>
      </w:pPr>
    </w:p>
    <w:p w:rsidR="00755B1E" w:rsidRDefault="00755B1E" w:rsidP="00564C27">
      <w:pPr>
        <w:jc w:val="both"/>
        <w:rPr>
          <w:rFonts w:ascii="Arial" w:hAnsi="Arial" w:cs="Arial"/>
        </w:rPr>
      </w:pPr>
    </w:p>
    <w:p w:rsidR="00755B1E" w:rsidRDefault="00755B1E" w:rsidP="00564C27">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930"/>
        <w:gridCol w:w="905"/>
        <w:gridCol w:w="730"/>
        <w:gridCol w:w="570"/>
        <w:gridCol w:w="400"/>
        <w:gridCol w:w="710"/>
        <w:gridCol w:w="1400"/>
        <w:gridCol w:w="390"/>
        <w:gridCol w:w="1010"/>
        <w:gridCol w:w="455"/>
      </w:tblGrid>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jc w:val="center"/>
              <w:rPr>
                <w:rFonts w:ascii="Arial" w:hAnsi="Arial" w:cs="Arial"/>
                <w:sz w:val="20"/>
                <w:szCs w:val="20"/>
              </w:rPr>
            </w:pP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i/>
                <w:iCs/>
                <w:sz w:val="20"/>
                <w:szCs w:val="20"/>
              </w:rPr>
              <w:t>Coeficiente</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i/>
                <w:iCs/>
                <w:sz w:val="20"/>
                <w:szCs w:val="20"/>
              </w:rPr>
              <w:t>Erro Padrão</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i/>
                <w:iCs/>
                <w:sz w:val="20"/>
                <w:szCs w:val="20"/>
              </w:rPr>
              <w:t>razão-t</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i/>
                <w:iCs/>
                <w:sz w:val="20"/>
                <w:szCs w:val="20"/>
              </w:rPr>
              <w:t>p-valor</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const</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10,3221</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0,980454</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10,53</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Data</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0,000620626</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0,000487758</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1,272</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0,2033</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Area</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9,52791e-05</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6,35469e-06</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14,99</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Assinado</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1,10419</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0,0521777</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21,16</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Estimativa</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2,35684e-07</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1,34271e-08</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17,55</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Lote</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−0,000316350</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5,23334e-05</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−6,045</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Gravura</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−3,85594</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0,217087</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−17,76</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Pintura</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0,212043</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0,228273</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0,9289</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0,3530</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Desenho</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−1,50771</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0,218848</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−6,889</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EUA</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0,445114</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0,0588158</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7,568</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Inglaterra</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0,387819</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0,0652424</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5,944</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Franca</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−0,323783</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0,0735879</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−4,400</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&lt;0,0001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Ano_2018</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0,0613003</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0,128279</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0,4779</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0,6328</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Ano_2017</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−0,0680922</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0,126546</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−0,5381</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0,5906</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Ano_2016</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−0,0690963</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0,126212</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−0,5475</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0,5841</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Ano_2015</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−0,110070</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0,125760</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−0,8752</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0,3815</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Ano_2014</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−0,157130</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0,123142</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−1,276</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0,2020</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Ano_2013</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0,0457968</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0,122664</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0,3733</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0,7089</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Ano_2012</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−0,00405038</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0,126826</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−0,03194</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0,9745</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Ano_2011</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0,0568635</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0,129454</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0,4393</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0,6605</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Ano_2010</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0,0920604</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0,127341</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0,7229</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0,4698</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Ano_2009</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−0,0643608</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0,129042</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−0,4988</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0,6180</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Ano_2008</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0,177328</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0,121464</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1,460</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0,1444</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Ano_2007</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0,276426</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0,127358</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2,170</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0,0300</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Ano_2006</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0,340138</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0,132727</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2,563</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0,0104</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w:t>
            </w: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Ano_2005</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0,176785</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0,130234</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1,357</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0,1747</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Ano_2004</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0,133999</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0,132681</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1,010</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0,3126</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Ano_2003</w:t>
            </w:r>
          </w:p>
        </w:tc>
        <w:tc>
          <w:tcPr>
            <w:tcW w:w="1635"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−0,0820111</w:t>
            </w:r>
          </w:p>
        </w:tc>
        <w:tc>
          <w:tcPr>
            <w:tcW w:w="1680" w:type="dxa"/>
            <w:gridSpan w:val="3"/>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0,150130</w:t>
            </w:r>
          </w:p>
        </w:tc>
        <w:tc>
          <w:tcPr>
            <w:tcW w:w="1400" w:type="dxa"/>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−0,5463</w:t>
            </w:r>
          </w:p>
        </w:tc>
        <w:tc>
          <w:tcPr>
            <w:tcW w:w="1400" w:type="dxa"/>
            <w:gridSpan w:val="2"/>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0,5849</w:t>
            </w:r>
          </w:p>
        </w:tc>
        <w:tc>
          <w:tcPr>
            <w:tcW w:w="455" w:type="dxa"/>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Borders>
              <w:bottom w:val="nil"/>
            </w:tcBorders>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Ano_2002</w:t>
            </w:r>
          </w:p>
        </w:tc>
        <w:tc>
          <w:tcPr>
            <w:tcW w:w="1635" w:type="dxa"/>
            <w:gridSpan w:val="2"/>
            <w:tcBorders>
              <w:bottom w:val="nil"/>
            </w:tcBorders>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−0,157514</w:t>
            </w:r>
          </w:p>
        </w:tc>
        <w:tc>
          <w:tcPr>
            <w:tcW w:w="1680" w:type="dxa"/>
            <w:gridSpan w:val="3"/>
            <w:tcBorders>
              <w:bottom w:val="nil"/>
            </w:tcBorders>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0,143394</w:t>
            </w:r>
          </w:p>
        </w:tc>
        <w:tc>
          <w:tcPr>
            <w:tcW w:w="1400" w:type="dxa"/>
            <w:tcBorders>
              <w:bottom w:val="nil"/>
            </w:tcBorders>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−1,098</w:t>
            </w:r>
          </w:p>
        </w:tc>
        <w:tc>
          <w:tcPr>
            <w:tcW w:w="1400" w:type="dxa"/>
            <w:gridSpan w:val="2"/>
            <w:tcBorders>
              <w:bottom w:val="nil"/>
            </w:tcBorders>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0,2721</w:t>
            </w:r>
          </w:p>
        </w:tc>
        <w:tc>
          <w:tcPr>
            <w:tcW w:w="455" w:type="dxa"/>
            <w:tcBorders>
              <w:bottom w:val="nil"/>
            </w:tcBorders>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1930" w:type="dxa"/>
            <w:tcBorders>
              <w:top w:val="nil"/>
              <w:bottom w:val="nil"/>
            </w:tcBorders>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Ano_2001</w:t>
            </w:r>
          </w:p>
        </w:tc>
        <w:tc>
          <w:tcPr>
            <w:tcW w:w="1635" w:type="dxa"/>
            <w:gridSpan w:val="2"/>
            <w:tcBorders>
              <w:top w:val="nil"/>
              <w:bottom w:val="nil"/>
            </w:tcBorders>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0,0449044</w:t>
            </w:r>
          </w:p>
        </w:tc>
        <w:tc>
          <w:tcPr>
            <w:tcW w:w="1680" w:type="dxa"/>
            <w:gridSpan w:val="3"/>
            <w:tcBorders>
              <w:top w:val="nil"/>
              <w:bottom w:val="nil"/>
            </w:tcBorders>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0,140263</w:t>
            </w:r>
          </w:p>
        </w:tc>
        <w:tc>
          <w:tcPr>
            <w:tcW w:w="1400" w:type="dxa"/>
            <w:tcBorders>
              <w:top w:val="nil"/>
              <w:bottom w:val="nil"/>
            </w:tcBorders>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0,3201</w:t>
            </w:r>
          </w:p>
        </w:tc>
        <w:tc>
          <w:tcPr>
            <w:tcW w:w="1400" w:type="dxa"/>
            <w:gridSpan w:val="2"/>
            <w:tcBorders>
              <w:top w:val="nil"/>
              <w:bottom w:val="nil"/>
            </w:tcBorders>
          </w:tcPr>
          <w:p w:rsidR="004073FC" w:rsidRPr="005C701B" w:rsidRDefault="004073FC" w:rsidP="00FD0AE7">
            <w:pPr>
              <w:widowControl w:val="0"/>
              <w:autoSpaceDE w:val="0"/>
              <w:autoSpaceDN w:val="0"/>
              <w:adjustRightInd w:val="0"/>
              <w:jc w:val="center"/>
              <w:rPr>
                <w:rFonts w:ascii="Arial" w:hAnsi="Arial" w:cs="Arial"/>
                <w:sz w:val="20"/>
                <w:szCs w:val="20"/>
              </w:rPr>
            </w:pPr>
            <w:r w:rsidRPr="005C701B">
              <w:rPr>
                <w:rFonts w:ascii="Arial" w:hAnsi="Arial" w:cs="Arial"/>
                <w:sz w:val="20"/>
                <w:szCs w:val="20"/>
              </w:rPr>
              <w:t>0,7489</w:t>
            </w:r>
          </w:p>
          <w:p w:rsidR="004073FC" w:rsidRPr="005C701B" w:rsidRDefault="004073FC" w:rsidP="00FD0AE7">
            <w:pPr>
              <w:widowControl w:val="0"/>
              <w:autoSpaceDE w:val="0"/>
              <w:autoSpaceDN w:val="0"/>
              <w:adjustRightInd w:val="0"/>
              <w:jc w:val="center"/>
              <w:rPr>
                <w:rFonts w:ascii="Arial" w:hAnsi="Arial" w:cs="Arial"/>
                <w:sz w:val="20"/>
                <w:szCs w:val="20"/>
              </w:rPr>
            </w:pPr>
          </w:p>
        </w:tc>
        <w:tc>
          <w:tcPr>
            <w:tcW w:w="455" w:type="dxa"/>
            <w:tcBorders>
              <w:top w:val="nil"/>
              <w:bottom w:val="nil"/>
            </w:tcBorders>
          </w:tcPr>
          <w:p w:rsidR="004073FC" w:rsidRPr="005C701B" w:rsidRDefault="004073FC" w:rsidP="00FD0AE7">
            <w:pPr>
              <w:widowControl w:val="0"/>
              <w:autoSpaceDE w:val="0"/>
              <w:autoSpaceDN w:val="0"/>
              <w:adjustRightInd w:val="0"/>
              <w:rPr>
                <w:rFonts w:ascii="Arial" w:hAnsi="Arial" w:cs="Arial"/>
                <w:sz w:val="20"/>
                <w:szCs w:val="20"/>
              </w:rPr>
            </w:pPr>
          </w:p>
        </w:tc>
      </w:tr>
      <w:tr w:rsidR="004073FC" w:rsidRPr="005C701B" w:rsidTr="004073FC">
        <w:trPr>
          <w:trHeight w:val="262"/>
          <w:jc w:val="center"/>
        </w:trPr>
        <w:tc>
          <w:tcPr>
            <w:tcW w:w="2835" w:type="dxa"/>
            <w:gridSpan w:val="2"/>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Soma resíd. quadrados</w:t>
            </w:r>
          </w:p>
        </w:tc>
        <w:tc>
          <w:tcPr>
            <w:tcW w:w="1300" w:type="dxa"/>
            <w:gridSpan w:val="2"/>
          </w:tcPr>
          <w:p w:rsidR="004073FC" w:rsidRPr="005C701B" w:rsidRDefault="004073FC" w:rsidP="00FD0AE7">
            <w:pPr>
              <w:widowControl w:val="0"/>
              <w:autoSpaceDE w:val="0"/>
              <w:autoSpaceDN w:val="0"/>
              <w:adjustRightInd w:val="0"/>
              <w:jc w:val="right"/>
              <w:rPr>
                <w:rFonts w:ascii="Arial" w:hAnsi="Arial" w:cs="Arial"/>
                <w:sz w:val="20"/>
                <w:szCs w:val="20"/>
              </w:rPr>
            </w:pPr>
            <w:r w:rsidRPr="005C701B">
              <w:rPr>
                <w:rFonts w:ascii="Arial" w:hAnsi="Arial" w:cs="Arial"/>
                <w:sz w:val="20"/>
                <w:szCs w:val="20"/>
              </w:rPr>
              <w:t xml:space="preserve"> 3224,123</w:t>
            </w:r>
          </w:p>
        </w:tc>
        <w:tc>
          <w:tcPr>
            <w:tcW w:w="400" w:type="dxa"/>
          </w:tcPr>
          <w:p w:rsidR="004073FC" w:rsidRPr="005C701B" w:rsidRDefault="004073FC" w:rsidP="00FD0AE7">
            <w:pPr>
              <w:widowControl w:val="0"/>
              <w:autoSpaceDE w:val="0"/>
              <w:autoSpaceDN w:val="0"/>
              <w:adjustRightInd w:val="0"/>
              <w:jc w:val="center"/>
              <w:rPr>
                <w:rFonts w:ascii="Arial" w:hAnsi="Arial" w:cs="Arial"/>
                <w:sz w:val="20"/>
                <w:szCs w:val="20"/>
              </w:rPr>
            </w:pPr>
          </w:p>
        </w:tc>
        <w:tc>
          <w:tcPr>
            <w:tcW w:w="2500" w:type="dxa"/>
            <w:gridSpan w:val="3"/>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E.P. da regressão</w:t>
            </w:r>
          </w:p>
        </w:tc>
        <w:tc>
          <w:tcPr>
            <w:tcW w:w="1465" w:type="dxa"/>
            <w:gridSpan w:val="2"/>
          </w:tcPr>
          <w:p w:rsidR="004073FC" w:rsidRPr="005C701B" w:rsidRDefault="004073FC" w:rsidP="00FD0AE7">
            <w:pPr>
              <w:widowControl w:val="0"/>
              <w:autoSpaceDE w:val="0"/>
              <w:autoSpaceDN w:val="0"/>
              <w:adjustRightInd w:val="0"/>
              <w:jc w:val="right"/>
              <w:rPr>
                <w:rFonts w:ascii="Arial" w:hAnsi="Arial" w:cs="Arial"/>
                <w:sz w:val="20"/>
                <w:szCs w:val="20"/>
              </w:rPr>
            </w:pPr>
            <w:r w:rsidRPr="005C701B">
              <w:rPr>
                <w:rFonts w:ascii="Arial" w:hAnsi="Arial" w:cs="Arial"/>
                <w:sz w:val="20"/>
                <w:szCs w:val="20"/>
              </w:rPr>
              <w:t xml:space="preserve"> 0,982500</w:t>
            </w:r>
          </w:p>
        </w:tc>
      </w:tr>
      <w:tr w:rsidR="004073FC" w:rsidRPr="005C701B" w:rsidTr="004073FC">
        <w:trPr>
          <w:trHeight w:val="262"/>
          <w:jc w:val="center"/>
        </w:trPr>
        <w:tc>
          <w:tcPr>
            <w:tcW w:w="2835" w:type="dxa"/>
            <w:gridSpan w:val="2"/>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R-quadrado</w:t>
            </w:r>
          </w:p>
        </w:tc>
        <w:tc>
          <w:tcPr>
            <w:tcW w:w="1300" w:type="dxa"/>
            <w:gridSpan w:val="2"/>
          </w:tcPr>
          <w:p w:rsidR="004073FC" w:rsidRPr="005C701B" w:rsidRDefault="004073FC" w:rsidP="00FD0AE7">
            <w:pPr>
              <w:widowControl w:val="0"/>
              <w:autoSpaceDE w:val="0"/>
              <w:autoSpaceDN w:val="0"/>
              <w:adjustRightInd w:val="0"/>
              <w:jc w:val="right"/>
              <w:rPr>
                <w:rFonts w:ascii="Arial" w:hAnsi="Arial" w:cs="Arial"/>
                <w:sz w:val="20"/>
                <w:szCs w:val="20"/>
              </w:rPr>
            </w:pPr>
            <w:r w:rsidRPr="005C701B">
              <w:rPr>
                <w:rFonts w:ascii="Arial" w:hAnsi="Arial" w:cs="Arial"/>
                <w:sz w:val="20"/>
                <w:szCs w:val="20"/>
              </w:rPr>
              <w:t xml:space="preserve"> 0,741099</w:t>
            </w:r>
          </w:p>
        </w:tc>
        <w:tc>
          <w:tcPr>
            <w:tcW w:w="400" w:type="dxa"/>
          </w:tcPr>
          <w:p w:rsidR="004073FC" w:rsidRPr="005C701B" w:rsidRDefault="004073FC" w:rsidP="00FD0AE7">
            <w:pPr>
              <w:widowControl w:val="0"/>
              <w:autoSpaceDE w:val="0"/>
              <w:autoSpaceDN w:val="0"/>
              <w:adjustRightInd w:val="0"/>
              <w:jc w:val="center"/>
              <w:rPr>
                <w:rFonts w:ascii="Arial" w:hAnsi="Arial" w:cs="Arial"/>
                <w:sz w:val="20"/>
                <w:szCs w:val="20"/>
              </w:rPr>
            </w:pPr>
          </w:p>
        </w:tc>
        <w:tc>
          <w:tcPr>
            <w:tcW w:w="2500" w:type="dxa"/>
            <w:gridSpan w:val="3"/>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R-quadrado ajustado</w:t>
            </w:r>
          </w:p>
        </w:tc>
        <w:tc>
          <w:tcPr>
            <w:tcW w:w="1465" w:type="dxa"/>
            <w:gridSpan w:val="2"/>
          </w:tcPr>
          <w:p w:rsidR="004073FC" w:rsidRPr="005C701B" w:rsidRDefault="004073FC" w:rsidP="00FD0AE7">
            <w:pPr>
              <w:widowControl w:val="0"/>
              <w:autoSpaceDE w:val="0"/>
              <w:autoSpaceDN w:val="0"/>
              <w:adjustRightInd w:val="0"/>
              <w:jc w:val="right"/>
              <w:rPr>
                <w:rFonts w:ascii="Arial" w:hAnsi="Arial" w:cs="Arial"/>
                <w:sz w:val="20"/>
                <w:szCs w:val="20"/>
              </w:rPr>
            </w:pPr>
            <w:r w:rsidRPr="005C701B">
              <w:rPr>
                <w:rFonts w:ascii="Arial" w:hAnsi="Arial" w:cs="Arial"/>
                <w:sz w:val="20"/>
                <w:szCs w:val="20"/>
              </w:rPr>
              <w:t xml:space="preserve"> 0,738851</w:t>
            </w:r>
          </w:p>
        </w:tc>
      </w:tr>
      <w:tr w:rsidR="004073FC" w:rsidRPr="005C701B" w:rsidTr="004073FC">
        <w:trPr>
          <w:trHeight w:val="262"/>
          <w:jc w:val="center"/>
        </w:trPr>
        <w:tc>
          <w:tcPr>
            <w:tcW w:w="2835" w:type="dxa"/>
            <w:gridSpan w:val="2"/>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F(29, 3340)</w:t>
            </w:r>
          </w:p>
        </w:tc>
        <w:tc>
          <w:tcPr>
            <w:tcW w:w="1300" w:type="dxa"/>
            <w:gridSpan w:val="2"/>
          </w:tcPr>
          <w:p w:rsidR="004073FC" w:rsidRPr="005C701B" w:rsidRDefault="004073FC" w:rsidP="00FD0AE7">
            <w:pPr>
              <w:widowControl w:val="0"/>
              <w:autoSpaceDE w:val="0"/>
              <w:autoSpaceDN w:val="0"/>
              <w:adjustRightInd w:val="0"/>
              <w:jc w:val="right"/>
              <w:rPr>
                <w:rFonts w:ascii="Arial" w:hAnsi="Arial" w:cs="Arial"/>
                <w:sz w:val="20"/>
                <w:szCs w:val="20"/>
              </w:rPr>
            </w:pPr>
            <w:r w:rsidRPr="005C701B">
              <w:rPr>
                <w:rFonts w:ascii="Arial" w:hAnsi="Arial" w:cs="Arial"/>
                <w:sz w:val="20"/>
                <w:szCs w:val="20"/>
              </w:rPr>
              <w:t xml:space="preserve"> 329,6783</w:t>
            </w:r>
          </w:p>
        </w:tc>
        <w:tc>
          <w:tcPr>
            <w:tcW w:w="400" w:type="dxa"/>
          </w:tcPr>
          <w:p w:rsidR="004073FC" w:rsidRPr="005C701B" w:rsidRDefault="004073FC" w:rsidP="00FD0AE7">
            <w:pPr>
              <w:widowControl w:val="0"/>
              <w:autoSpaceDE w:val="0"/>
              <w:autoSpaceDN w:val="0"/>
              <w:adjustRightInd w:val="0"/>
              <w:jc w:val="center"/>
              <w:rPr>
                <w:rFonts w:ascii="Arial" w:hAnsi="Arial" w:cs="Arial"/>
                <w:sz w:val="20"/>
                <w:szCs w:val="20"/>
              </w:rPr>
            </w:pPr>
          </w:p>
        </w:tc>
        <w:tc>
          <w:tcPr>
            <w:tcW w:w="2500" w:type="dxa"/>
            <w:gridSpan w:val="3"/>
          </w:tcPr>
          <w:p w:rsidR="004073FC" w:rsidRPr="005C701B" w:rsidRDefault="004073FC" w:rsidP="00FD0AE7">
            <w:pPr>
              <w:widowControl w:val="0"/>
              <w:autoSpaceDE w:val="0"/>
              <w:autoSpaceDN w:val="0"/>
              <w:adjustRightInd w:val="0"/>
              <w:rPr>
                <w:rFonts w:ascii="Arial" w:hAnsi="Arial" w:cs="Arial"/>
                <w:sz w:val="20"/>
                <w:szCs w:val="20"/>
              </w:rPr>
            </w:pPr>
            <w:r w:rsidRPr="005C701B">
              <w:rPr>
                <w:rFonts w:ascii="Arial" w:hAnsi="Arial" w:cs="Arial"/>
                <w:sz w:val="20"/>
                <w:szCs w:val="20"/>
              </w:rPr>
              <w:t>P-valor(F)</w:t>
            </w:r>
          </w:p>
        </w:tc>
        <w:tc>
          <w:tcPr>
            <w:tcW w:w="1465" w:type="dxa"/>
            <w:gridSpan w:val="2"/>
          </w:tcPr>
          <w:p w:rsidR="004073FC" w:rsidRPr="005C701B" w:rsidRDefault="004073FC" w:rsidP="00FD0AE7">
            <w:pPr>
              <w:widowControl w:val="0"/>
              <w:autoSpaceDE w:val="0"/>
              <w:autoSpaceDN w:val="0"/>
              <w:adjustRightInd w:val="0"/>
              <w:jc w:val="right"/>
              <w:rPr>
                <w:rFonts w:ascii="Arial" w:hAnsi="Arial" w:cs="Arial"/>
                <w:sz w:val="20"/>
                <w:szCs w:val="20"/>
              </w:rPr>
            </w:pPr>
            <w:r w:rsidRPr="005C701B">
              <w:rPr>
                <w:rFonts w:ascii="Arial" w:hAnsi="Arial" w:cs="Arial"/>
                <w:sz w:val="20"/>
                <w:szCs w:val="20"/>
              </w:rPr>
              <w:t xml:space="preserve"> 0,000000</w:t>
            </w:r>
          </w:p>
        </w:tc>
      </w:tr>
    </w:tbl>
    <w:p w:rsidR="004073FC" w:rsidRPr="004073FC" w:rsidRDefault="004073FC" w:rsidP="004073FC">
      <w:pPr>
        <w:jc w:val="center"/>
        <w:rPr>
          <w:rFonts w:ascii="Arial" w:hAnsi="Arial" w:cs="Arial"/>
        </w:rPr>
      </w:pPr>
      <w:r>
        <w:rPr>
          <w:rFonts w:ascii="Arial" w:hAnsi="Arial" w:cs="Arial"/>
          <w:b/>
        </w:rPr>
        <w:t xml:space="preserve">Tabela 1: </w:t>
      </w:r>
      <w:r>
        <w:rPr>
          <w:rFonts w:ascii="Arial" w:hAnsi="Arial" w:cs="Arial"/>
        </w:rPr>
        <w:t>Resultados da regressão por mínimos quadrados ordinários</w:t>
      </w:r>
    </w:p>
    <w:p w:rsidR="004073FC" w:rsidRDefault="004073FC" w:rsidP="00564C27">
      <w:pPr>
        <w:jc w:val="both"/>
        <w:rPr>
          <w:rFonts w:ascii="Arial" w:hAnsi="Arial" w:cs="Arial"/>
        </w:rPr>
      </w:pPr>
    </w:p>
    <w:p w:rsidR="00792447" w:rsidRDefault="00792447" w:rsidP="00564C27">
      <w:pPr>
        <w:jc w:val="both"/>
        <w:rPr>
          <w:rFonts w:ascii="Arial" w:hAnsi="Arial" w:cs="Arial"/>
        </w:rPr>
      </w:pPr>
    </w:p>
    <w:p w:rsidR="005C701B" w:rsidRDefault="005C701B" w:rsidP="00564C27">
      <w:pPr>
        <w:jc w:val="both"/>
        <w:rPr>
          <w:rFonts w:ascii="Arial" w:hAnsi="Arial" w:cs="Arial"/>
        </w:rPr>
      </w:pPr>
      <w:r>
        <w:rPr>
          <w:rFonts w:ascii="Arial" w:hAnsi="Arial" w:cs="Arial"/>
        </w:rPr>
        <w:tab/>
        <w:t>Como pode ser visto, o teste F indica uma significância inferior a 1% e o R-quadrado ajustado mostra 73,88% da variações da variável dependente são explicadas pelas variáveis independentes. Por outro lado, diversos regressores não são significativos ao nível de 5%. Na verdade há regressores que não</w:t>
      </w:r>
      <w:r w:rsidR="00B25DA1">
        <w:rPr>
          <w:rFonts w:ascii="Arial" w:hAnsi="Arial" w:cs="Arial"/>
        </w:rPr>
        <w:t xml:space="preserve"> são</w:t>
      </w:r>
      <w:r>
        <w:rPr>
          <w:rFonts w:ascii="Arial" w:hAnsi="Arial" w:cs="Arial"/>
        </w:rPr>
        <w:t xml:space="preserve"> significativos ao nível de 50%.</w:t>
      </w:r>
    </w:p>
    <w:p w:rsidR="002E07FF" w:rsidRDefault="002E07FF" w:rsidP="00564C27">
      <w:pPr>
        <w:jc w:val="both"/>
        <w:rPr>
          <w:rFonts w:ascii="Arial" w:hAnsi="Arial" w:cs="Arial"/>
        </w:rPr>
      </w:pPr>
      <w:r>
        <w:rPr>
          <w:rFonts w:ascii="Arial" w:hAnsi="Arial" w:cs="Arial"/>
        </w:rPr>
        <w:tab/>
        <w:t>Para verificar a homocedasticidade do modelo, foi realizado o teste de White, o qual está devidamente descrito em Gujarati (2000). O teste foi elaborado utilizando-se o Gretl, que verificou que o</w:t>
      </w:r>
      <w:r w:rsidR="00CC4EF3">
        <w:rPr>
          <w:rFonts w:ascii="Arial" w:hAnsi="Arial" w:cs="Arial"/>
        </w:rPr>
        <w:t>s resíduos do</w:t>
      </w:r>
      <w:r>
        <w:rPr>
          <w:rFonts w:ascii="Arial" w:hAnsi="Arial" w:cs="Arial"/>
        </w:rPr>
        <w:t xml:space="preserve"> modelo acima </w:t>
      </w:r>
      <w:r w:rsidR="00CC4EF3">
        <w:rPr>
          <w:rFonts w:ascii="Arial" w:hAnsi="Arial" w:cs="Arial"/>
        </w:rPr>
        <w:t>são</w:t>
      </w:r>
      <w:r>
        <w:rPr>
          <w:rFonts w:ascii="Arial" w:hAnsi="Arial" w:cs="Arial"/>
        </w:rPr>
        <w:t xml:space="preserve"> heterocedástico</w:t>
      </w:r>
      <w:r w:rsidR="00CC4EF3">
        <w:rPr>
          <w:rFonts w:ascii="Arial" w:hAnsi="Arial" w:cs="Arial"/>
        </w:rPr>
        <w:t>s</w:t>
      </w:r>
      <w:r>
        <w:rPr>
          <w:rFonts w:ascii="Arial" w:hAnsi="Arial" w:cs="Arial"/>
        </w:rPr>
        <w:t>.</w:t>
      </w:r>
    </w:p>
    <w:p w:rsidR="008C44B6" w:rsidRDefault="008C44B6" w:rsidP="00564C27">
      <w:pPr>
        <w:jc w:val="both"/>
        <w:rPr>
          <w:rFonts w:ascii="Arial" w:hAnsi="Arial" w:cs="Arial"/>
        </w:rPr>
      </w:pPr>
      <w:r>
        <w:rPr>
          <w:rFonts w:ascii="Arial" w:hAnsi="Arial" w:cs="Arial"/>
        </w:rPr>
        <w:tab/>
        <w:t xml:space="preserve">Para corrigir a heterocedasticidade, adotou-se a regressão por mínimos quadrados ponderados, a qual também está descrita em Gujarati (2000), usando a </w:t>
      </w:r>
      <w:r>
        <w:rPr>
          <w:rFonts w:ascii="Arial" w:hAnsi="Arial" w:cs="Arial"/>
        </w:rPr>
        <w:lastRenderedPageBreak/>
        <w:t xml:space="preserve">variável </w:t>
      </w:r>
      <w:r w:rsidR="009A4FE1">
        <w:rPr>
          <w:rFonts w:ascii="Arial" w:hAnsi="Arial" w:cs="Arial"/>
        </w:rPr>
        <w:t>E</w:t>
      </w:r>
      <w:r>
        <w:rPr>
          <w:rFonts w:ascii="Arial" w:hAnsi="Arial" w:cs="Arial"/>
        </w:rPr>
        <w:t>stimativa como variável de ponderação.</w:t>
      </w:r>
      <w:r w:rsidR="009A4FE1">
        <w:rPr>
          <w:rFonts w:ascii="Arial" w:hAnsi="Arial" w:cs="Arial"/>
        </w:rPr>
        <w:t xml:space="preserve"> Os resultados são apresentados a seguir.</w:t>
      </w:r>
    </w:p>
    <w:p w:rsidR="009A4FE1" w:rsidRDefault="009A4FE1" w:rsidP="00564C27">
      <w:pPr>
        <w:jc w:val="both"/>
        <w:rPr>
          <w:rFonts w:ascii="Arial" w:hAnsi="Arial" w:cs="Arial"/>
        </w:rPr>
      </w:pPr>
    </w:p>
    <w:p w:rsidR="00755B1E" w:rsidRDefault="00755B1E" w:rsidP="00564C27">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930"/>
        <w:gridCol w:w="1047"/>
        <w:gridCol w:w="567"/>
        <w:gridCol w:w="733"/>
        <w:gridCol w:w="400"/>
        <w:gridCol w:w="568"/>
        <w:gridCol w:w="1400"/>
        <w:gridCol w:w="532"/>
        <w:gridCol w:w="868"/>
        <w:gridCol w:w="455"/>
      </w:tblGrid>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jc w:val="center"/>
              <w:rPr>
                <w:rFonts w:ascii="Arial" w:hAnsi="Arial" w:cs="Arial"/>
                <w:sz w:val="20"/>
                <w:szCs w:val="20"/>
              </w:rPr>
            </w:pP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i/>
                <w:iCs/>
                <w:sz w:val="20"/>
                <w:szCs w:val="20"/>
              </w:rPr>
              <w:t>Coeficiente</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i/>
                <w:iCs/>
                <w:sz w:val="20"/>
                <w:szCs w:val="20"/>
              </w:rPr>
              <w:t>Erro Padrão</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i/>
                <w:iCs/>
                <w:sz w:val="20"/>
                <w:szCs w:val="20"/>
              </w:rPr>
              <w:t>razão-t</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i/>
                <w:iCs/>
                <w:sz w:val="20"/>
                <w:szCs w:val="20"/>
              </w:rPr>
              <w:t>p-valor</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const</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4,78206</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1,46154</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3,272</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0,0011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Data</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0,00470169</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0,000743371</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6,325</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Area</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5,93103e-05</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2,86996e-06</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20,67</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Assinado</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0,532169</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0,119563</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4,451</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Estimativa</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1,15877e-07</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2,15734e-09</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53,71</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Lote</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−0,00127401</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8,15995e-05</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−15,61</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Gravura</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−4,13835</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0,0929767</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−44,51</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Pintura</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0,0374524</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0,0679222</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0,5514</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0,5814</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Desenho</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−1,38485</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0,0709839</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−19,51</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EUA</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0,378429</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0,107383</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3,524</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0,0004</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Inglaterra</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0,455419</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0,108007</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4,217</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Franca</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0,330095</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0,128587</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2,567</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0,0103</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Ano_2018</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−0,290020</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0,0819376</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−3,540</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0,0004</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Ano_2017</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−0,282283</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0,0818429</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−3,449</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0,0006</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Ano_2016</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−0,969651</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0,0911030</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−10,64</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Ano_2015</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−0,156263</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0,0778632</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−2,007</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0,0448</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Ano_2014</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−0,572123</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0,0757112</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−7,557</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Ano_2013</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−0,459633</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0,0894537</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−5,138</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Ano_2012</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0,0727662</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0,0931239</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0,7814</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0,4346</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Ano_2011</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−0,112986</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0,0978076</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−1,155</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0,2481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Ano_2010</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−0,494994</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0,0745517</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−6,640</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Ano_2009</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0,105450</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0,103245</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1,021</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0,3072</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Ano_2008</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−0,00930929</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0,0788918</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−0,1180</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0,9061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Ano_2007</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−0,355684</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0,0736943</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−4,826</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Ano_2006</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−0,113969</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0,0859376</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−1,326</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0,1849</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Ano_2005</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−0,382493</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0,0970684</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−3,940</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Ano_2004</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−0,402035</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0,100380</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−4,005</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Ano_2003</w:t>
            </w:r>
          </w:p>
        </w:tc>
        <w:tc>
          <w:tcPr>
            <w:tcW w:w="1614"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−1,47298</w:t>
            </w:r>
          </w:p>
        </w:tc>
        <w:tc>
          <w:tcPr>
            <w:tcW w:w="1701" w:type="dxa"/>
            <w:gridSpan w:val="3"/>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0,228838</w:t>
            </w:r>
          </w:p>
        </w:tc>
        <w:tc>
          <w:tcPr>
            <w:tcW w:w="1400" w:type="dxa"/>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−6,437</w:t>
            </w:r>
          </w:p>
        </w:tc>
        <w:tc>
          <w:tcPr>
            <w:tcW w:w="1400" w:type="dxa"/>
            <w:gridSpan w:val="2"/>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Borders>
              <w:bottom w:val="nil"/>
            </w:tcBorders>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Ano_2002</w:t>
            </w:r>
          </w:p>
        </w:tc>
        <w:tc>
          <w:tcPr>
            <w:tcW w:w="1614" w:type="dxa"/>
            <w:gridSpan w:val="2"/>
            <w:tcBorders>
              <w:bottom w:val="nil"/>
            </w:tcBorders>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−0,415509</w:t>
            </w:r>
          </w:p>
        </w:tc>
        <w:tc>
          <w:tcPr>
            <w:tcW w:w="1701" w:type="dxa"/>
            <w:gridSpan w:val="3"/>
            <w:tcBorders>
              <w:bottom w:val="nil"/>
            </w:tcBorders>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0,0998055</w:t>
            </w:r>
          </w:p>
        </w:tc>
        <w:tc>
          <w:tcPr>
            <w:tcW w:w="1400" w:type="dxa"/>
            <w:tcBorders>
              <w:bottom w:val="nil"/>
            </w:tcBorders>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−4,163</w:t>
            </w:r>
          </w:p>
        </w:tc>
        <w:tc>
          <w:tcPr>
            <w:tcW w:w="1400" w:type="dxa"/>
            <w:gridSpan w:val="2"/>
            <w:tcBorders>
              <w:bottom w:val="nil"/>
            </w:tcBorders>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Borders>
              <w:bottom w:val="nil"/>
            </w:tcBorders>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tc>
      </w:tr>
      <w:tr w:rsidR="009A4FE1" w:rsidRPr="009A4FE1" w:rsidTr="009A4FE1">
        <w:trPr>
          <w:trHeight w:val="262"/>
          <w:jc w:val="center"/>
        </w:trPr>
        <w:tc>
          <w:tcPr>
            <w:tcW w:w="1930" w:type="dxa"/>
            <w:tcBorders>
              <w:top w:val="nil"/>
              <w:bottom w:val="nil"/>
            </w:tcBorders>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Ano_2001</w:t>
            </w:r>
          </w:p>
        </w:tc>
        <w:tc>
          <w:tcPr>
            <w:tcW w:w="1614" w:type="dxa"/>
            <w:gridSpan w:val="2"/>
            <w:tcBorders>
              <w:top w:val="nil"/>
              <w:bottom w:val="nil"/>
            </w:tcBorders>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−0,454221</w:t>
            </w:r>
          </w:p>
        </w:tc>
        <w:tc>
          <w:tcPr>
            <w:tcW w:w="1701" w:type="dxa"/>
            <w:gridSpan w:val="3"/>
            <w:tcBorders>
              <w:top w:val="nil"/>
              <w:bottom w:val="nil"/>
            </w:tcBorders>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0,0885237</w:t>
            </w:r>
          </w:p>
        </w:tc>
        <w:tc>
          <w:tcPr>
            <w:tcW w:w="1400" w:type="dxa"/>
            <w:tcBorders>
              <w:top w:val="nil"/>
              <w:bottom w:val="nil"/>
            </w:tcBorders>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−5,131</w:t>
            </w:r>
          </w:p>
        </w:tc>
        <w:tc>
          <w:tcPr>
            <w:tcW w:w="1400" w:type="dxa"/>
            <w:gridSpan w:val="2"/>
            <w:tcBorders>
              <w:top w:val="nil"/>
              <w:bottom w:val="nil"/>
            </w:tcBorders>
          </w:tcPr>
          <w:p w:rsidR="009A4FE1" w:rsidRPr="009A4FE1" w:rsidRDefault="009A4FE1" w:rsidP="00FD0AE7">
            <w:pPr>
              <w:widowControl w:val="0"/>
              <w:autoSpaceDE w:val="0"/>
              <w:autoSpaceDN w:val="0"/>
              <w:adjustRightInd w:val="0"/>
              <w:jc w:val="center"/>
              <w:rPr>
                <w:rFonts w:ascii="Arial" w:hAnsi="Arial" w:cs="Arial"/>
                <w:sz w:val="20"/>
                <w:szCs w:val="20"/>
              </w:rPr>
            </w:pPr>
            <w:r w:rsidRPr="009A4FE1">
              <w:rPr>
                <w:rFonts w:ascii="Arial" w:hAnsi="Arial" w:cs="Arial"/>
                <w:sz w:val="20"/>
                <w:szCs w:val="20"/>
              </w:rPr>
              <w:t>&lt;0,0001</w:t>
            </w:r>
          </w:p>
        </w:tc>
        <w:tc>
          <w:tcPr>
            <w:tcW w:w="455" w:type="dxa"/>
            <w:tcBorders>
              <w:top w:val="nil"/>
              <w:bottom w:val="nil"/>
            </w:tcBorders>
          </w:tcPr>
          <w:p w:rsid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w:t>
            </w:r>
          </w:p>
          <w:p w:rsidR="009A4FE1" w:rsidRPr="009A4FE1" w:rsidRDefault="009A4FE1" w:rsidP="00FD0AE7">
            <w:pPr>
              <w:widowControl w:val="0"/>
              <w:autoSpaceDE w:val="0"/>
              <w:autoSpaceDN w:val="0"/>
              <w:adjustRightInd w:val="0"/>
              <w:rPr>
                <w:rFonts w:ascii="Arial" w:hAnsi="Arial" w:cs="Arial"/>
                <w:sz w:val="20"/>
                <w:szCs w:val="20"/>
              </w:rPr>
            </w:pPr>
          </w:p>
        </w:tc>
      </w:tr>
      <w:tr w:rsidR="009A4FE1" w:rsidRPr="009A4FE1" w:rsidTr="009A4FE1">
        <w:trPr>
          <w:trHeight w:val="262"/>
          <w:jc w:val="center"/>
        </w:trPr>
        <w:tc>
          <w:tcPr>
            <w:tcW w:w="2977" w:type="dxa"/>
            <w:gridSpan w:val="2"/>
            <w:tcBorders>
              <w:top w:val="nil"/>
              <w:bottom w:val="nil"/>
            </w:tcBorders>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Soma resíd. quadrados</w:t>
            </w:r>
          </w:p>
        </w:tc>
        <w:tc>
          <w:tcPr>
            <w:tcW w:w="1300" w:type="dxa"/>
            <w:gridSpan w:val="2"/>
            <w:tcBorders>
              <w:top w:val="nil"/>
              <w:bottom w:val="nil"/>
            </w:tcBorders>
          </w:tcPr>
          <w:p w:rsidR="009A4FE1" w:rsidRPr="009A4FE1" w:rsidRDefault="009A4FE1" w:rsidP="00FD0AE7">
            <w:pPr>
              <w:widowControl w:val="0"/>
              <w:autoSpaceDE w:val="0"/>
              <w:autoSpaceDN w:val="0"/>
              <w:adjustRightInd w:val="0"/>
              <w:jc w:val="right"/>
              <w:rPr>
                <w:rFonts w:ascii="Arial" w:hAnsi="Arial" w:cs="Arial"/>
                <w:sz w:val="20"/>
                <w:szCs w:val="20"/>
              </w:rPr>
            </w:pPr>
            <w:r w:rsidRPr="009A4FE1">
              <w:rPr>
                <w:rFonts w:ascii="Arial" w:hAnsi="Arial" w:cs="Arial"/>
                <w:sz w:val="20"/>
                <w:szCs w:val="20"/>
              </w:rPr>
              <w:t xml:space="preserve"> 4,03e+08</w:t>
            </w:r>
          </w:p>
        </w:tc>
        <w:tc>
          <w:tcPr>
            <w:tcW w:w="400" w:type="dxa"/>
            <w:tcBorders>
              <w:top w:val="nil"/>
              <w:bottom w:val="nil"/>
            </w:tcBorders>
          </w:tcPr>
          <w:p w:rsidR="009A4FE1" w:rsidRPr="009A4FE1" w:rsidRDefault="009A4FE1" w:rsidP="00FD0AE7">
            <w:pPr>
              <w:widowControl w:val="0"/>
              <w:autoSpaceDE w:val="0"/>
              <w:autoSpaceDN w:val="0"/>
              <w:adjustRightInd w:val="0"/>
              <w:jc w:val="center"/>
              <w:rPr>
                <w:rFonts w:ascii="Arial" w:hAnsi="Arial" w:cs="Arial"/>
                <w:sz w:val="20"/>
                <w:szCs w:val="20"/>
              </w:rPr>
            </w:pPr>
          </w:p>
        </w:tc>
        <w:tc>
          <w:tcPr>
            <w:tcW w:w="2500" w:type="dxa"/>
            <w:gridSpan w:val="3"/>
            <w:tcBorders>
              <w:top w:val="nil"/>
              <w:bottom w:val="nil"/>
            </w:tcBorders>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E.P. da regressão</w:t>
            </w:r>
          </w:p>
        </w:tc>
        <w:tc>
          <w:tcPr>
            <w:tcW w:w="1323" w:type="dxa"/>
            <w:gridSpan w:val="2"/>
            <w:tcBorders>
              <w:top w:val="nil"/>
              <w:bottom w:val="nil"/>
            </w:tcBorders>
          </w:tcPr>
          <w:p w:rsidR="009A4FE1" w:rsidRPr="009A4FE1" w:rsidRDefault="009A4FE1" w:rsidP="00FD0AE7">
            <w:pPr>
              <w:widowControl w:val="0"/>
              <w:autoSpaceDE w:val="0"/>
              <w:autoSpaceDN w:val="0"/>
              <w:adjustRightInd w:val="0"/>
              <w:jc w:val="right"/>
              <w:rPr>
                <w:rFonts w:ascii="Arial" w:hAnsi="Arial" w:cs="Arial"/>
                <w:sz w:val="20"/>
                <w:szCs w:val="20"/>
              </w:rPr>
            </w:pPr>
            <w:r w:rsidRPr="009A4FE1">
              <w:rPr>
                <w:rFonts w:ascii="Arial" w:hAnsi="Arial" w:cs="Arial"/>
                <w:sz w:val="20"/>
                <w:szCs w:val="20"/>
              </w:rPr>
              <w:t xml:space="preserve"> 347,3769</w:t>
            </w:r>
          </w:p>
        </w:tc>
      </w:tr>
      <w:tr w:rsidR="009A4FE1" w:rsidRPr="009A4FE1" w:rsidTr="009A4FE1">
        <w:trPr>
          <w:trHeight w:val="262"/>
          <w:jc w:val="center"/>
        </w:trPr>
        <w:tc>
          <w:tcPr>
            <w:tcW w:w="2977" w:type="dxa"/>
            <w:gridSpan w:val="2"/>
            <w:tcBorders>
              <w:top w:val="nil"/>
            </w:tcBorders>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R-quadrado</w:t>
            </w:r>
          </w:p>
        </w:tc>
        <w:tc>
          <w:tcPr>
            <w:tcW w:w="1300" w:type="dxa"/>
            <w:gridSpan w:val="2"/>
            <w:tcBorders>
              <w:top w:val="nil"/>
            </w:tcBorders>
          </w:tcPr>
          <w:p w:rsidR="009A4FE1" w:rsidRPr="009A4FE1" w:rsidRDefault="009A4FE1" w:rsidP="00FD0AE7">
            <w:pPr>
              <w:widowControl w:val="0"/>
              <w:autoSpaceDE w:val="0"/>
              <w:autoSpaceDN w:val="0"/>
              <w:adjustRightInd w:val="0"/>
              <w:jc w:val="right"/>
              <w:rPr>
                <w:rFonts w:ascii="Arial" w:hAnsi="Arial" w:cs="Arial"/>
                <w:sz w:val="20"/>
                <w:szCs w:val="20"/>
              </w:rPr>
            </w:pPr>
            <w:r w:rsidRPr="009A4FE1">
              <w:rPr>
                <w:rFonts w:ascii="Arial" w:hAnsi="Arial" w:cs="Arial"/>
                <w:sz w:val="20"/>
                <w:szCs w:val="20"/>
              </w:rPr>
              <w:t xml:space="preserve"> 0,851085</w:t>
            </w:r>
          </w:p>
        </w:tc>
        <w:tc>
          <w:tcPr>
            <w:tcW w:w="400" w:type="dxa"/>
            <w:tcBorders>
              <w:top w:val="nil"/>
            </w:tcBorders>
          </w:tcPr>
          <w:p w:rsidR="009A4FE1" w:rsidRPr="009A4FE1" w:rsidRDefault="009A4FE1" w:rsidP="00FD0AE7">
            <w:pPr>
              <w:widowControl w:val="0"/>
              <w:autoSpaceDE w:val="0"/>
              <w:autoSpaceDN w:val="0"/>
              <w:adjustRightInd w:val="0"/>
              <w:jc w:val="center"/>
              <w:rPr>
                <w:rFonts w:ascii="Arial" w:hAnsi="Arial" w:cs="Arial"/>
                <w:sz w:val="20"/>
                <w:szCs w:val="20"/>
              </w:rPr>
            </w:pPr>
          </w:p>
        </w:tc>
        <w:tc>
          <w:tcPr>
            <w:tcW w:w="2500" w:type="dxa"/>
            <w:gridSpan w:val="3"/>
            <w:tcBorders>
              <w:top w:val="nil"/>
            </w:tcBorders>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R-quadrado ajustado</w:t>
            </w:r>
          </w:p>
        </w:tc>
        <w:tc>
          <w:tcPr>
            <w:tcW w:w="1323" w:type="dxa"/>
            <w:gridSpan w:val="2"/>
            <w:tcBorders>
              <w:top w:val="nil"/>
            </w:tcBorders>
          </w:tcPr>
          <w:p w:rsidR="009A4FE1" w:rsidRPr="009A4FE1" w:rsidRDefault="009A4FE1" w:rsidP="00FD0AE7">
            <w:pPr>
              <w:widowControl w:val="0"/>
              <w:autoSpaceDE w:val="0"/>
              <w:autoSpaceDN w:val="0"/>
              <w:adjustRightInd w:val="0"/>
              <w:jc w:val="right"/>
              <w:rPr>
                <w:rFonts w:ascii="Arial" w:hAnsi="Arial" w:cs="Arial"/>
                <w:sz w:val="20"/>
                <w:szCs w:val="20"/>
              </w:rPr>
            </w:pPr>
            <w:r w:rsidRPr="009A4FE1">
              <w:rPr>
                <w:rFonts w:ascii="Arial" w:hAnsi="Arial" w:cs="Arial"/>
                <w:sz w:val="20"/>
                <w:szCs w:val="20"/>
              </w:rPr>
              <w:t xml:space="preserve"> 0,849747</w:t>
            </w:r>
          </w:p>
        </w:tc>
      </w:tr>
      <w:tr w:rsidR="009A4FE1" w:rsidRPr="009A4FE1" w:rsidTr="009A4FE1">
        <w:trPr>
          <w:trHeight w:val="262"/>
          <w:jc w:val="center"/>
        </w:trPr>
        <w:tc>
          <w:tcPr>
            <w:tcW w:w="2977" w:type="dxa"/>
            <w:gridSpan w:val="2"/>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F(29, 3339)</w:t>
            </w:r>
          </w:p>
        </w:tc>
        <w:tc>
          <w:tcPr>
            <w:tcW w:w="1300" w:type="dxa"/>
            <w:gridSpan w:val="2"/>
          </w:tcPr>
          <w:p w:rsidR="009A4FE1" w:rsidRPr="009A4FE1" w:rsidRDefault="009A4FE1" w:rsidP="00FD0AE7">
            <w:pPr>
              <w:widowControl w:val="0"/>
              <w:autoSpaceDE w:val="0"/>
              <w:autoSpaceDN w:val="0"/>
              <w:adjustRightInd w:val="0"/>
              <w:jc w:val="right"/>
              <w:rPr>
                <w:rFonts w:ascii="Arial" w:hAnsi="Arial" w:cs="Arial"/>
                <w:sz w:val="20"/>
                <w:szCs w:val="20"/>
              </w:rPr>
            </w:pPr>
            <w:r w:rsidRPr="009A4FE1">
              <w:rPr>
                <w:rFonts w:ascii="Arial" w:hAnsi="Arial" w:cs="Arial"/>
                <w:sz w:val="20"/>
                <w:szCs w:val="20"/>
              </w:rPr>
              <w:t xml:space="preserve"> 658,0430</w:t>
            </w:r>
          </w:p>
        </w:tc>
        <w:tc>
          <w:tcPr>
            <w:tcW w:w="400" w:type="dxa"/>
          </w:tcPr>
          <w:p w:rsidR="009A4FE1" w:rsidRPr="009A4FE1" w:rsidRDefault="009A4FE1" w:rsidP="00FD0AE7">
            <w:pPr>
              <w:widowControl w:val="0"/>
              <w:autoSpaceDE w:val="0"/>
              <w:autoSpaceDN w:val="0"/>
              <w:adjustRightInd w:val="0"/>
              <w:jc w:val="center"/>
              <w:rPr>
                <w:rFonts w:ascii="Arial" w:hAnsi="Arial" w:cs="Arial"/>
                <w:sz w:val="20"/>
                <w:szCs w:val="20"/>
              </w:rPr>
            </w:pPr>
          </w:p>
        </w:tc>
        <w:tc>
          <w:tcPr>
            <w:tcW w:w="2500" w:type="dxa"/>
            <w:gridSpan w:val="3"/>
          </w:tcPr>
          <w:p w:rsidR="009A4FE1" w:rsidRPr="009A4FE1" w:rsidRDefault="009A4FE1" w:rsidP="00FD0AE7">
            <w:pPr>
              <w:widowControl w:val="0"/>
              <w:autoSpaceDE w:val="0"/>
              <w:autoSpaceDN w:val="0"/>
              <w:adjustRightInd w:val="0"/>
              <w:rPr>
                <w:rFonts w:ascii="Arial" w:hAnsi="Arial" w:cs="Arial"/>
                <w:sz w:val="20"/>
                <w:szCs w:val="20"/>
              </w:rPr>
            </w:pPr>
            <w:r w:rsidRPr="009A4FE1">
              <w:rPr>
                <w:rFonts w:ascii="Arial" w:hAnsi="Arial" w:cs="Arial"/>
                <w:sz w:val="20"/>
                <w:szCs w:val="20"/>
              </w:rPr>
              <w:t>P-valor(F)</w:t>
            </w:r>
          </w:p>
        </w:tc>
        <w:tc>
          <w:tcPr>
            <w:tcW w:w="1323" w:type="dxa"/>
            <w:gridSpan w:val="2"/>
          </w:tcPr>
          <w:p w:rsidR="009A4FE1" w:rsidRPr="009A4FE1" w:rsidRDefault="009A4FE1" w:rsidP="00FD0AE7">
            <w:pPr>
              <w:widowControl w:val="0"/>
              <w:autoSpaceDE w:val="0"/>
              <w:autoSpaceDN w:val="0"/>
              <w:adjustRightInd w:val="0"/>
              <w:jc w:val="right"/>
              <w:rPr>
                <w:rFonts w:ascii="Arial" w:hAnsi="Arial" w:cs="Arial"/>
                <w:sz w:val="20"/>
                <w:szCs w:val="20"/>
              </w:rPr>
            </w:pPr>
            <w:r w:rsidRPr="009A4FE1">
              <w:rPr>
                <w:rFonts w:ascii="Arial" w:hAnsi="Arial" w:cs="Arial"/>
                <w:sz w:val="20"/>
                <w:szCs w:val="20"/>
              </w:rPr>
              <w:t xml:space="preserve"> 0,000000</w:t>
            </w:r>
          </w:p>
        </w:tc>
      </w:tr>
    </w:tbl>
    <w:p w:rsidR="009A4FE1" w:rsidRPr="00502AAC" w:rsidRDefault="00502AAC" w:rsidP="009A4FE1">
      <w:pPr>
        <w:jc w:val="center"/>
        <w:rPr>
          <w:rFonts w:ascii="Arial" w:hAnsi="Arial" w:cs="Arial"/>
        </w:rPr>
      </w:pPr>
      <w:r>
        <w:rPr>
          <w:rFonts w:ascii="Arial" w:hAnsi="Arial" w:cs="Arial"/>
          <w:b/>
        </w:rPr>
        <w:t xml:space="preserve">Tabela 2: </w:t>
      </w:r>
      <w:r>
        <w:rPr>
          <w:rFonts w:ascii="Arial" w:hAnsi="Arial" w:cs="Arial"/>
        </w:rPr>
        <w:t>Resultado da regressão por mínimos quadrados ponderados</w:t>
      </w:r>
    </w:p>
    <w:p w:rsidR="007975ED" w:rsidRDefault="007975ED" w:rsidP="00564C27">
      <w:pPr>
        <w:jc w:val="both"/>
        <w:rPr>
          <w:rFonts w:ascii="Arial" w:hAnsi="Arial" w:cs="Arial"/>
        </w:rPr>
      </w:pPr>
    </w:p>
    <w:p w:rsidR="003C47A7" w:rsidRDefault="003C47A7" w:rsidP="00564C27">
      <w:pPr>
        <w:jc w:val="both"/>
        <w:rPr>
          <w:rFonts w:ascii="Arial" w:hAnsi="Arial" w:cs="Arial"/>
        </w:rPr>
      </w:pPr>
    </w:p>
    <w:p w:rsidR="00FB084F" w:rsidRDefault="00FB084F" w:rsidP="00564C27">
      <w:pPr>
        <w:jc w:val="both"/>
        <w:rPr>
          <w:rFonts w:ascii="Arial" w:hAnsi="Arial" w:cs="Arial"/>
        </w:rPr>
      </w:pPr>
      <w:r>
        <w:rPr>
          <w:rFonts w:ascii="Arial" w:hAnsi="Arial" w:cs="Arial"/>
        </w:rPr>
        <w:tab/>
        <w:t>Como pode ser visto na tabela, o teste F continua significativo a nível de 1%. Mas o R-quadrado ajustado agora mostra que o modelo explica 84,97% das variações na variável dependente. Também observa-se que a maioria das variáveis independentes é significativa ao nível de 1%. Portanto, a correção da heterocedasticidade trouxe uma série de melhorias ao modelo.</w:t>
      </w:r>
    </w:p>
    <w:p w:rsidR="00C56357" w:rsidRDefault="00C56357" w:rsidP="00564C27">
      <w:pPr>
        <w:jc w:val="both"/>
        <w:rPr>
          <w:rFonts w:ascii="Arial" w:hAnsi="Arial" w:cs="Arial"/>
        </w:rPr>
      </w:pPr>
      <w:r>
        <w:rPr>
          <w:rFonts w:ascii="Arial" w:hAnsi="Arial" w:cs="Arial"/>
        </w:rPr>
        <w:tab/>
        <w:t>Os testes mostram que os resíduos do modelo seguem a distribuição normal, que não ocorre multicolinearidade entre as variáveis independentes e não existe autocorrelação entre os dados.</w:t>
      </w:r>
    </w:p>
    <w:p w:rsidR="007975ED" w:rsidRDefault="007975ED" w:rsidP="00564C27">
      <w:pPr>
        <w:jc w:val="both"/>
        <w:rPr>
          <w:rFonts w:ascii="Arial" w:hAnsi="Arial" w:cs="Arial"/>
        </w:rPr>
      </w:pPr>
    </w:p>
    <w:p w:rsidR="007A5146" w:rsidRDefault="00E94EB8" w:rsidP="00564C27">
      <w:pPr>
        <w:jc w:val="both"/>
        <w:rPr>
          <w:rFonts w:ascii="Arial" w:hAnsi="Arial" w:cs="Arial"/>
          <w:b/>
        </w:rPr>
      </w:pPr>
      <w:r>
        <w:rPr>
          <w:rFonts w:ascii="Arial" w:hAnsi="Arial" w:cs="Arial"/>
          <w:b/>
        </w:rPr>
        <w:t>5</w:t>
      </w:r>
      <w:r w:rsidR="00F93F41">
        <w:rPr>
          <w:rFonts w:ascii="Arial" w:hAnsi="Arial" w:cs="Arial"/>
          <w:b/>
        </w:rPr>
        <w:t>.</w:t>
      </w:r>
      <w:r w:rsidR="007A5146">
        <w:rPr>
          <w:rFonts w:ascii="Arial" w:hAnsi="Arial" w:cs="Arial"/>
          <w:b/>
        </w:rPr>
        <w:t xml:space="preserve"> </w:t>
      </w:r>
      <w:r w:rsidR="00DC5B46">
        <w:rPr>
          <w:rFonts w:ascii="Arial" w:hAnsi="Arial" w:cs="Arial"/>
          <w:b/>
        </w:rPr>
        <w:t>RESULTADOS</w:t>
      </w:r>
    </w:p>
    <w:p w:rsidR="007A5146" w:rsidRDefault="007A5146" w:rsidP="00564C27">
      <w:pPr>
        <w:jc w:val="both"/>
        <w:rPr>
          <w:rFonts w:ascii="Arial" w:hAnsi="Arial" w:cs="Arial"/>
          <w:b/>
        </w:rPr>
      </w:pPr>
    </w:p>
    <w:p w:rsidR="00F06EE4" w:rsidRDefault="00CC4EF3" w:rsidP="00564C27">
      <w:pPr>
        <w:jc w:val="both"/>
        <w:rPr>
          <w:rFonts w:ascii="Arial" w:hAnsi="Arial" w:cs="Arial"/>
        </w:rPr>
      </w:pPr>
      <w:r>
        <w:rPr>
          <w:rFonts w:ascii="Arial" w:hAnsi="Arial" w:cs="Arial"/>
        </w:rPr>
        <w:tab/>
        <w:t>A função de preços hedônicos estimada é a seguinte:</w:t>
      </w:r>
    </w:p>
    <w:p w:rsidR="00CC4EF3" w:rsidRDefault="00CC4EF3" w:rsidP="00DB52EF">
      <w:pPr>
        <w:jc w:val="both"/>
        <w:rPr>
          <w:rFonts w:ascii="Arial" w:hAnsi="Arial" w:cs="Arial"/>
        </w:rPr>
      </w:pPr>
    </w:p>
    <w:p w:rsidR="00DB52EF" w:rsidRDefault="00DB52EF" w:rsidP="00DB52EF">
      <w:pPr>
        <w:jc w:val="both"/>
        <w:rPr>
          <w:rFonts w:ascii="Arial" w:hAnsi="Arial" w:cs="Arial"/>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
      </w:tblGrid>
      <w:tr w:rsidR="00DB52EF" w:rsidTr="00DB52EF">
        <w:trPr>
          <w:jc w:val="center"/>
        </w:trPr>
        <w:tc>
          <w:tcPr>
            <w:tcW w:w="8359" w:type="dxa"/>
          </w:tcPr>
          <w:p w:rsidR="00DB52EF" w:rsidRDefault="00DB52EF" w:rsidP="00DB52EF">
            <w:pPr>
              <w:jc w:val="center"/>
              <w:rPr>
                <w:rFonts w:ascii="Arial" w:hAnsi="Arial" w:cs="Arial"/>
                <w:noProof/>
              </w:rPr>
            </w:pPr>
            <w:r>
              <w:rPr>
                <w:rFonts w:ascii="Arial" w:hAnsi="Arial" w:cs="Arial"/>
                <w:i/>
              </w:rPr>
              <w:t xml:space="preserve">ln(valor_venda) = </w:t>
            </w:r>
            <w:r w:rsidRPr="00CC4EF3">
              <w:rPr>
                <w:rFonts w:ascii="Arial" w:hAnsi="Arial" w:cs="Arial"/>
                <w:i/>
              </w:rPr>
              <w:t>4,78206</w:t>
            </w:r>
            <w:r>
              <w:rPr>
                <w:rFonts w:ascii="Arial" w:hAnsi="Arial" w:cs="Arial"/>
                <w:i/>
              </w:rPr>
              <w:t xml:space="preserve"> + </w:t>
            </w:r>
            <w:r w:rsidRPr="00CC4EF3">
              <w:rPr>
                <w:rFonts w:ascii="Arial" w:hAnsi="Arial" w:cs="Arial"/>
                <w:i/>
              </w:rPr>
              <w:t>0,00470169</w:t>
            </w:r>
            <w:r>
              <w:rPr>
                <w:rFonts w:ascii="Arial" w:hAnsi="Arial" w:cs="Arial"/>
                <w:i/>
              </w:rPr>
              <w:t xml:space="preserve"> x Data + 5,93103x10</w:t>
            </w:r>
            <w:r w:rsidRPr="00CC4EF3">
              <w:rPr>
                <w:rFonts w:ascii="Arial" w:hAnsi="Arial" w:cs="Arial"/>
                <w:i/>
                <w:vertAlign w:val="superscript"/>
              </w:rPr>
              <w:t>-05</w:t>
            </w:r>
            <w:r>
              <w:rPr>
                <w:rFonts w:ascii="Arial" w:hAnsi="Arial" w:cs="Arial"/>
                <w:i/>
              </w:rPr>
              <w:t xml:space="preserve"> + </w:t>
            </w:r>
            <w:r w:rsidRPr="00CC4EF3">
              <w:rPr>
                <w:rFonts w:ascii="Arial" w:hAnsi="Arial" w:cs="Arial"/>
                <w:i/>
              </w:rPr>
              <w:t>0,532169</w:t>
            </w:r>
            <w:r>
              <w:rPr>
                <w:rFonts w:ascii="Arial" w:hAnsi="Arial" w:cs="Arial"/>
                <w:i/>
              </w:rPr>
              <w:t xml:space="preserve"> x Assinado + </w:t>
            </w:r>
            <w:r w:rsidRPr="00CC4EF3">
              <w:rPr>
                <w:rFonts w:ascii="Arial" w:hAnsi="Arial" w:cs="Arial"/>
                <w:i/>
              </w:rPr>
              <w:t>1,15877</w:t>
            </w:r>
            <w:r>
              <w:rPr>
                <w:rFonts w:ascii="Arial" w:hAnsi="Arial" w:cs="Arial"/>
                <w:i/>
              </w:rPr>
              <w:t>x10</w:t>
            </w:r>
            <w:r w:rsidRPr="00CC4EF3">
              <w:rPr>
                <w:rFonts w:ascii="Arial" w:hAnsi="Arial" w:cs="Arial"/>
                <w:i/>
                <w:vertAlign w:val="superscript"/>
              </w:rPr>
              <w:t>-07</w:t>
            </w:r>
            <w:r>
              <w:rPr>
                <w:rFonts w:ascii="Arial" w:hAnsi="Arial" w:cs="Arial"/>
                <w:i/>
              </w:rPr>
              <w:t xml:space="preserve"> - </w:t>
            </w:r>
            <w:r w:rsidRPr="00CC4EF3">
              <w:rPr>
                <w:rFonts w:ascii="Arial" w:hAnsi="Arial" w:cs="Arial"/>
                <w:i/>
              </w:rPr>
              <w:t>0,00127401</w:t>
            </w:r>
            <w:r>
              <w:rPr>
                <w:rFonts w:ascii="Arial" w:hAnsi="Arial" w:cs="Arial"/>
                <w:i/>
              </w:rPr>
              <w:t xml:space="preserve"> x Lote - </w:t>
            </w:r>
            <w:r w:rsidRPr="00CC4EF3">
              <w:rPr>
                <w:rFonts w:ascii="Arial" w:hAnsi="Arial" w:cs="Arial"/>
                <w:i/>
              </w:rPr>
              <w:t>4,13835</w:t>
            </w:r>
            <w:r>
              <w:rPr>
                <w:rFonts w:ascii="Arial" w:hAnsi="Arial" w:cs="Arial"/>
                <w:i/>
              </w:rPr>
              <w:t xml:space="preserve"> x Gravura + </w:t>
            </w:r>
            <w:r w:rsidRPr="00CC4EF3">
              <w:rPr>
                <w:rFonts w:ascii="Arial" w:hAnsi="Arial" w:cs="Arial"/>
                <w:i/>
              </w:rPr>
              <w:t>0,0374524</w:t>
            </w:r>
            <w:r>
              <w:rPr>
                <w:rFonts w:ascii="Arial" w:hAnsi="Arial" w:cs="Arial"/>
                <w:i/>
              </w:rPr>
              <w:t xml:space="preserve"> x Pintura - </w:t>
            </w:r>
            <w:r w:rsidRPr="00CC4EF3">
              <w:rPr>
                <w:rFonts w:ascii="Arial" w:hAnsi="Arial" w:cs="Arial"/>
                <w:i/>
              </w:rPr>
              <w:t>1,38485</w:t>
            </w:r>
            <w:r>
              <w:rPr>
                <w:rFonts w:ascii="Arial" w:hAnsi="Arial" w:cs="Arial"/>
                <w:i/>
              </w:rPr>
              <w:t xml:space="preserve"> x Desenho + </w:t>
            </w:r>
            <w:r w:rsidRPr="00CC4EF3">
              <w:rPr>
                <w:rFonts w:ascii="Arial" w:hAnsi="Arial" w:cs="Arial"/>
                <w:i/>
              </w:rPr>
              <w:t>0,378429</w:t>
            </w:r>
            <w:r>
              <w:rPr>
                <w:rFonts w:ascii="Arial" w:hAnsi="Arial" w:cs="Arial"/>
                <w:i/>
              </w:rPr>
              <w:t xml:space="preserve"> x EUA + </w:t>
            </w:r>
            <w:r w:rsidRPr="00CC4EF3">
              <w:rPr>
                <w:rFonts w:ascii="Arial" w:hAnsi="Arial" w:cs="Arial"/>
                <w:i/>
              </w:rPr>
              <w:t>0,455419</w:t>
            </w:r>
            <w:r>
              <w:rPr>
                <w:rFonts w:ascii="Arial" w:hAnsi="Arial" w:cs="Arial"/>
                <w:i/>
              </w:rPr>
              <w:t xml:space="preserve"> x Inglaterra + </w:t>
            </w:r>
            <w:r w:rsidRPr="00CC4EF3">
              <w:rPr>
                <w:rFonts w:ascii="Arial" w:hAnsi="Arial" w:cs="Arial"/>
                <w:i/>
              </w:rPr>
              <w:t>0,330095</w:t>
            </w:r>
            <w:r>
              <w:rPr>
                <w:rFonts w:ascii="Arial" w:hAnsi="Arial" w:cs="Arial"/>
                <w:i/>
              </w:rPr>
              <w:t xml:space="preserve"> x França - </w:t>
            </w:r>
            <w:r w:rsidRPr="00CC4EF3">
              <w:rPr>
                <w:rFonts w:ascii="Arial" w:hAnsi="Arial" w:cs="Arial"/>
                <w:i/>
              </w:rPr>
              <w:t>0,290020</w:t>
            </w:r>
            <w:r>
              <w:rPr>
                <w:rFonts w:ascii="Arial" w:hAnsi="Arial" w:cs="Arial"/>
                <w:i/>
              </w:rPr>
              <w:t xml:space="preserve"> x Ano_2018 - </w:t>
            </w:r>
            <w:r w:rsidRPr="00CC4EF3">
              <w:rPr>
                <w:rFonts w:ascii="Arial" w:hAnsi="Arial" w:cs="Arial"/>
                <w:i/>
              </w:rPr>
              <w:t>0,282283</w:t>
            </w:r>
            <w:r>
              <w:rPr>
                <w:rFonts w:ascii="Arial" w:hAnsi="Arial" w:cs="Arial"/>
                <w:i/>
              </w:rPr>
              <w:t xml:space="preserve"> x Ano_2017 - </w:t>
            </w:r>
            <w:r w:rsidRPr="00CC4EF3">
              <w:rPr>
                <w:rFonts w:ascii="Arial" w:hAnsi="Arial" w:cs="Arial"/>
                <w:i/>
              </w:rPr>
              <w:t>0,969651</w:t>
            </w:r>
            <w:r>
              <w:rPr>
                <w:rFonts w:ascii="Arial" w:hAnsi="Arial" w:cs="Arial"/>
                <w:i/>
              </w:rPr>
              <w:t xml:space="preserve"> x Ano_2016 - </w:t>
            </w:r>
            <w:r w:rsidRPr="009168B8">
              <w:rPr>
                <w:rFonts w:ascii="Arial" w:hAnsi="Arial" w:cs="Arial"/>
                <w:i/>
              </w:rPr>
              <w:t>0,156263</w:t>
            </w:r>
            <w:r>
              <w:rPr>
                <w:rFonts w:ascii="Arial" w:hAnsi="Arial" w:cs="Arial"/>
                <w:i/>
              </w:rPr>
              <w:t xml:space="preserve"> x Ano_2015 - </w:t>
            </w:r>
            <w:r w:rsidRPr="009168B8">
              <w:rPr>
                <w:rFonts w:ascii="Arial" w:hAnsi="Arial" w:cs="Arial"/>
                <w:i/>
              </w:rPr>
              <w:t>0,572123</w:t>
            </w:r>
            <w:r>
              <w:rPr>
                <w:rFonts w:ascii="Arial" w:hAnsi="Arial" w:cs="Arial"/>
                <w:i/>
              </w:rPr>
              <w:t xml:space="preserve"> x Ano_2014 - </w:t>
            </w:r>
            <w:r w:rsidRPr="009168B8">
              <w:rPr>
                <w:rFonts w:ascii="Arial" w:hAnsi="Arial" w:cs="Arial"/>
                <w:i/>
              </w:rPr>
              <w:t>0,459633</w:t>
            </w:r>
            <w:r>
              <w:rPr>
                <w:rFonts w:ascii="Arial" w:hAnsi="Arial" w:cs="Arial"/>
                <w:i/>
              </w:rPr>
              <w:t xml:space="preserve"> x Ano_2013 + </w:t>
            </w:r>
            <w:r w:rsidRPr="009168B8">
              <w:rPr>
                <w:rFonts w:ascii="Arial" w:hAnsi="Arial" w:cs="Arial"/>
                <w:i/>
              </w:rPr>
              <w:t>0,0727662</w:t>
            </w:r>
            <w:r>
              <w:rPr>
                <w:rFonts w:ascii="Arial" w:hAnsi="Arial" w:cs="Arial"/>
                <w:i/>
              </w:rPr>
              <w:t xml:space="preserve"> x Ano_2012 - </w:t>
            </w:r>
            <w:r w:rsidRPr="009168B8">
              <w:rPr>
                <w:rFonts w:ascii="Arial" w:hAnsi="Arial" w:cs="Arial"/>
                <w:i/>
              </w:rPr>
              <w:t>0,112986</w:t>
            </w:r>
            <w:r>
              <w:rPr>
                <w:rFonts w:ascii="Arial" w:hAnsi="Arial" w:cs="Arial"/>
                <w:i/>
              </w:rPr>
              <w:t xml:space="preserve"> x Ano_2011 - </w:t>
            </w:r>
            <w:r w:rsidRPr="009168B8">
              <w:rPr>
                <w:rFonts w:ascii="Arial" w:hAnsi="Arial" w:cs="Arial"/>
                <w:i/>
              </w:rPr>
              <w:t>0,494994</w:t>
            </w:r>
            <w:r>
              <w:rPr>
                <w:rFonts w:ascii="Arial" w:hAnsi="Arial" w:cs="Arial"/>
                <w:i/>
              </w:rPr>
              <w:t xml:space="preserve"> x Ano_2010 +  </w:t>
            </w:r>
            <w:r w:rsidRPr="009168B8">
              <w:rPr>
                <w:rFonts w:ascii="Arial" w:hAnsi="Arial" w:cs="Arial"/>
                <w:i/>
              </w:rPr>
              <w:t>0,105450</w:t>
            </w:r>
            <w:r>
              <w:rPr>
                <w:rFonts w:ascii="Arial" w:hAnsi="Arial" w:cs="Arial"/>
                <w:i/>
              </w:rPr>
              <w:t xml:space="preserve"> x Ano_2009 - </w:t>
            </w:r>
            <w:r w:rsidRPr="009168B8">
              <w:rPr>
                <w:rFonts w:ascii="Arial" w:hAnsi="Arial" w:cs="Arial"/>
                <w:i/>
              </w:rPr>
              <w:t>0,00930929</w:t>
            </w:r>
            <w:r>
              <w:rPr>
                <w:rFonts w:ascii="Arial" w:hAnsi="Arial" w:cs="Arial"/>
                <w:i/>
              </w:rPr>
              <w:t xml:space="preserve"> x Ano_2008 - </w:t>
            </w:r>
            <w:r w:rsidRPr="009168B8">
              <w:rPr>
                <w:rFonts w:ascii="Arial" w:hAnsi="Arial" w:cs="Arial"/>
                <w:i/>
              </w:rPr>
              <w:t>0,355684</w:t>
            </w:r>
            <w:r>
              <w:rPr>
                <w:rFonts w:ascii="Arial" w:hAnsi="Arial" w:cs="Arial"/>
                <w:i/>
              </w:rPr>
              <w:t xml:space="preserve"> x Ano_2007 - </w:t>
            </w:r>
            <w:r w:rsidRPr="009168B8">
              <w:rPr>
                <w:rFonts w:ascii="Arial" w:hAnsi="Arial" w:cs="Arial"/>
                <w:i/>
              </w:rPr>
              <w:t>0,113969</w:t>
            </w:r>
            <w:r>
              <w:rPr>
                <w:rFonts w:ascii="Arial" w:hAnsi="Arial" w:cs="Arial"/>
                <w:i/>
              </w:rPr>
              <w:t xml:space="preserve"> x Ano_2006 - </w:t>
            </w:r>
            <w:r w:rsidRPr="009168B8">
              <w:rPr>
                <w:rFonts w:ascii="Arial" w:hAnsi="Arial" w:cs="Arial"/>
                <w:i/>
              </w:rPr>
              <w:t>0,382493</w:t>
            </w:r>
            <w:r>
              <w:rPr>
                <w:rFonts w:ascii="Arial" w:hAnsi="Arial" w:cs="Arial"/>
                <w:i/>
              </w:rPr>
              <w:t xml:space="preserve"> x Ano_2005 - </w:t>
            </w:r>
            <w:r w:rsidRPr="009168B8">
              <w:rPr>
                <w:rFonts w:ascii="Arial" w:hAnsi="Arial" w:cs="Arial"/>
                <w:i/>
              </w:rPr>
              <w:t>0,402035</w:t>
            </w:r>
            <w:r>
              <w:rPr>
                <w:rFonts w:ascii="Arial" w:hAnsi="Arial" w:cs="Arial"/>
                <w:i/>
              </w:rPr>
              <w:t xml:space="preserve"> x Ano_2004 - </w:t>
            </w:r>
            <w:r w:rsidRPr="009168B8">
              <w:rPr>
                <w:rFonts w:ascii="Arial" w:hAnsi="Arial" w:cs="Arial"/>
                <w:i/>
              </w:rPr>
              <w:t>1,47298</w:t>
            </w:r>
            <w:r>
              <w:rPr>
                <w:rFonts w:ascii="Arial" w:hAnsi="Arial" w:cs="Arial"/>
                <w:i/>
              </w:rPr>
              <w:t xml:space="preserve"> x Ano_2003 - </w:t>
            </w:r>
            <w:r w:rsidRPr="009168B8">
              <w:rPr>
                <w:rFonts w:ascii="Arial" w:hAnsi="Arial" w:cs="Arial"/>
                <w:i/>
              </w:rPr>
              <w:t>0,415509</w:t>
            </w:r>
            <w:r>
              <w:rPr>
                <w:rFonts w:ascii="Arial" w:hAnsi="Arial" w:cs="Arial"/>
                <w:i/>
              </w:rPr>
              <w:t xml:space="preserve"> x Ano_2002 - </w:t>
            </w:r>
            <w:r w:rsidRPr="009168B8">
              <w:rPr>
                <w:rFonts w:ascii="Arial" w:hAnsi="Arial" w:cs="Arial"/>
                <w:i/>
              </w:rPr>
              <w:t>0,454221</w:t>
            </w:r>
            <w:r>
              <w:rPr>
                <w:rFonts w:ascii="Arial" w:hAnsi="Arial" w:cs="Arial"/>
                <w:i/>
              </w:rPr>
              <w:t xml:space="preserve"> x Ano_2001</w:t>
            </w:r>
          </w:p>
        </w:tc>
        <w:tc>
          <w:tcPr>
            <w:tcW w:w="702" w:type="dxa"/>
            <w:vAlign w:val="center"/>
          </w:tcPr>
          <w:p w:rsidR="00DB52EF" w:rsidRDefault="00DB52EF" w:rsidP="00DB52EF">
            <w:pPr>
              <w:jc w:val="center"/>
              <w:rPr>
                <w:rFonts w:ascii="Arial" w:hAnsi="Arial" w:cs="Arial"/>
              </w:rPr>
            </w:pPr>
            <w:r>
              <w:rPr>
                <w:rFonts w:ascii="Arial" w:hAnsi="Arial" w:cs="Arial"/>
              </w:rPr>
              <w:t>(7)</w:t>
            </w:r>
          </w:p>
        </w:tc>
      </w:tr>
    </w:tbl>
    <w:p w:rsidR="00DB52EF" w:rsidRDefault="00DB52EF" w:rsidP="00DB52EF">
      <w:pPr>
        <w:jc w:val="both"/>
        <w:rPr>
          <w:rFonts w:ascii="Arial" w:hAnsi="Arial" w:cs="Arial"/>
        </w:rPr>
      </w:pPr>
    </w:p>
    <w:p w:rsidR="00CC4EF3" w:rsidRDefault="00CC4EF3" w:rsidP="00CC4EF3">
      <w:pPr>
        <w:jc w:val="center"/>
        <w:rPr>
          <w:rFonts w:ascii="Arial" w:hAnsi="Arial" w:cs="Arial"/>
          <w:i/>
        </w:rPr>
      </w:pPr>
    </w:p>
    <w:p w:rsidR="00CC4EF3" w:rsidRDefault="00D90E48" w:rsidP="00D90E48">
      <w:pPr>
        <w:jc w:val="both"/>
        <w:rPr>
          <w:rFonts w:ascii="Arial" w:hAnsi="Arial" w:cs="Arial"/>
        </w:rPr>
      </w:pPr>
      <w:r>
        <w:rPr>
          <w:rFonts w:ascii="Arial" w:hAnsi="Arial" w:cs="Arial"/>
        </w:rPr>
        <w:tab/>
      </w:r>
      <w:r w:rsidR="00393412">
        <w:rPr>
          <w:rFonts w:ascii="Arial" w:hAnsi="Arial" w:cs="Arial"/>
        </w:rPr>
        <w:t xml:space="preserve">No âmbito do modelo acima descrito, os coeficientes das variáveis independentes são os preços implícitos de suas características, as quais podem ser estudadas com base nestes resultados. Por exemplo, com uma função específica, estudando </w:t>
      </w:r>
      <w:r w:rsidR="00F93F41">
        <w:rPr>
          <w:rFonts w:ascii="Arial" w:hAnsi="Arial" w:cs="Arial"/>
        </w:rPr>
        <w:t>obras</w:t>
      </w:r>
      <w:r w:rsidR="00393412">
        <w:rPr>
          <w:rFonts w:ascii="Arial" w:hAnsi="Arial" w:cs="Arial"/>
        </w:rPr>
        <w:t xml:space="preserve"> do pintor holandês Rembrandt van Rijin (1606-1669), Lazzaro</w:t>
      </w:r>
      <w:r w:rsidR="00F93F41">
        <w:rPr>
          <w:rFonts w:ascii="Arial" w:hAnsi="Arial" w:cs="Arial"/>
        </w:rPr>
        <w:t xml:space="preserve"> (2006) analisou o valor da originalidade em gravuras do mesmo. Por sua vez, Ferreira e Resende Filho (2010) analisaram as características de selos e como as mesmas influem em seu valor.</w:t>
      </w:r>
    </w:p>
    <w:p w:rsidR="00F93F41" w:rsidRDefault="00F93F41" w:rsidP="00D90E48">
      <w:pPr>
        <w:jc w:val="both"/>
        <w:rPr>
          <w:rFonts w:ascii="Arial" w:hAnsi="Arial" w:cs="Arial"/>
        </w:rPr>
      </w:pPr>
      <w:r>
        <w:rPr>
          <w:rFonts w:ascii="Arial" w:hAnsi="Arial" w:cs="Arial"/>
        </w:rPr>
        <w:tab/>
        <w:t xml:space="preserve">Para esta análise, nos interessam os coeficientes das variáveis temporais, as quais originam os índices de preço anuais dentro do intervalo estudado. A transformação dos coeficientes em índices de preços foi mostrada no item 3.2, </w:t>
      </w:r>
      <w:r w:rsidR="007F0D0F">
        <w:rPr>
          <w:rFonts w:ascii="Arial" w:hAnsi="Arial" w:cs="Arial"/>
        </w:rPr>
        <w:t>e</w:t>
      </w:r>
      <w:r>
        <w:rPr>
          <w:rFonts w:ascii="Arial" w:hAnsi="Arial" w:cs="Arial"/>
        </w:rPr>
        <w:t xml:space="preserve"> está devidamente demonstrada em Court (1939).</w:t>
      </w:r>
    </w:p>
    <w:p w:rsidR="0042402A" w:rsidRDefault="0042402A" w:rsidP="00D90E48">
      <w:pPr>
        <w:jc w:val="both"/>
        <w:rPr>
          <w:rFonts w:ascii="Arial" w:hAnsi="Arial" w:cs="Arial"/>
        </w:rPr>
      </w:pPr>
      <w:r>
        <w:rPr>
          <w:rFonts w:ascii="Arial" w:hAnsi="Arial" w:cs="Arial"/>
        </w:rPr>
        <w:tab/>
        <w:t xml:space="preserve">Considerando que não houve correção dos valores de venda analisados, chegamos ao seguinte índice de preços </w:t>
      </w:r>
      <w:r w:rsidR="001F6F8F">
        <w:rPr>
          <w:rFonts w:ascii="Arial" w:hAnsi="Arial" w:cs="Arial"/>
        </w:rPr>
        <w:t>de Henri Matisse entre 2001</w:t>
      </w:r>
      <w:r>
        <w:rPr>
          <w:rFonts w:ascii="Arial" w:hAnsi="Arial" w:cs="Arial"/>
        </w:rPr>
        <w:t xml:space="preserve"> e 2018.</w:t>
      </w:r>
    </w:p>
    <w:p w:rsidR="0042402A" w:rsidRDefault="0042402A" w:rsidP="00D90E48">
      <w:pPr>
        <w:jc w:val="both"/>
        <w:rPr>
          <w:rFonts w:ascii="Arial" w:hAnsi="Arial" w:cs="Arial"/>
        </w:rPr>
      </w:pPr>
    </w:p>
    <w:p w:rsidR="0042402A" w:rsidRDefault="0042402A" w:rsidP="00D90E48">
      <w:pPr>
        <w:jc w:val="both"/>
        <w:rPr>
          <w:rFonts w:ascii="Arial" w:hAnsi="Arial" w:cs="Arial"/>
        </w:rPr>
      </w:pPr>
    </w:p>
    <w:p w:rsidR="0042402A" w:rsidRDefault="0042402A" w:rsidP="0042402A">
      <w:pPr>
        <w:jc w:val="center"/>
        <w:rPr>
          <w:rFonts w:ascii="Arial" w:hAnsi="Arial" w:cs="Arial"/>
        </w:rPr>
      </w:pPr>
      <w:r>
        <w:rPr>
          <w:rFonts w:ascii="Arial" w:hAnsi="Arial" w:cs="Arial"/>
          <w:noProof/>
        </w:rPr>
        <w:drawing>
          <wp:inline distT="0" distB="0" distL="0" distR="0" wp14:anchorId="2295E5F1">
            <wp:extent cx="3891600" cy="2340000"/>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1600" cy="2340000"/>
                    </a:xfrm>
                    <a:prstGeom prst="rect">
                      <a:avLst/>
                    </a:prstGeom>
                    <a:noFill/>
                  </pic:spPr>
                </pic:pic>
              </a:graphicData>
            </a:graphic>
          </wp:inline>
        </w:drawing>
      </w:r>
    </w:p>
    <w:p w:rsidR="00D90E48" w:rsidRDefault="0042402A" w:rsidP="0042402A">
      <w:pPr>
        <w:jc w:val="center"/>
        <w:rPr>
          <w:rFonts w:ascii="Arial" w:hAnsi="Arial" w:cs="Arial"/>
        </w:rPr>
      </w:pPr>
      <w:r>
        <w:rPr>
          <w:rFonts w:ascii="Arial" w:hAnsi="Arial" w:cs="Arial"/>
          <w:b/>
        </w:rPr>
        <w:t xml:space="preserve">Figura 2: </w:t>
      </w:r>
      <w:r>
        <w:rPr>
          <w:rFonts w:ascii="Arial" w:hAnsi="Arial" w:cs="Arial"/>
        </w:rPr>
        <w:t>Índice de preços de obras de Henri Matisse, em dólares nominais</w:t>
      </w:r>
    </w:p>
    <w:p w:rsidR="0042402A" w:rsidRDefault="0042402A" w:rsidP="0042402A">
      <w:pPr>
        <w:jc w:val="center"/>
        <w:rPr>
          <w:rFonts w:ascii="Arial" w:hAnsi="Arial" w:cs="Arial"/>
        </w:rPr>
      </w:pPr>
    </w:p>
    <w:p w:rsidR="00F15F2B" w:rsidRDefault="00F15F2B" w:rsidP="0042402A">
      <w:pPr>
        <w:jc w:val="both"/>
        <w:rPr>
          <w:rFonts w:ascii="Arial" w:hAnsi="Arial" w:cs="Arial"/>
        </w:rPr>
      </w:pPr>
    </w:p>
    <w:p w:rsidR="0042402A" w:rsidRDefault="0042402A" w:rsidP="0042402A">
      <w:pPr>
        <w:jc w:val="both"/>
        <w:rPr>
          <w:rFonts w:ascii="Arial" w:hAnsi="Arial" w:cs="Arial"/>
        </w:rPr>
      </w:pPr>
      <w:r>
        <w:rPr>
          <w:rFonts w:ascii="Arial" w:hAnsi="Arial" w:cs="Arial"/>
        </w:rPr>
        <w:tab/>
        <w:t>Como podemos ver, há bastante variabilidade nos índices de preço ao longo dos anos, o que indica uma elevada volatilidade e, consequente risco elevado neste tipo de investimento. A rentabilidade, em termos nominais, entre 2001 e 2018 foi de 0,97% ao ano.</w:t>
      </w:r>
    </w:p>
    <w:p w:rsidR="00F15F2B" w:rsidRDefault="00F15F2B" w:rsidP="0042402A">
      <w:pPr>
        <w:jc w:val="both"/>
        <w:rPr>
          <w:rFonts w:ascii="Arial" w:hAnsi="Arial" w:cs="Arial"/>
        </w:rPr>
      </w:pPr>
      <w:r>
        <w:rPr>
          <w:rFonts w:ascii="Arial" w:hAnsi="Arial" w:cs="Arial"/>
        </w:rPr>
        <w:tab/>
        <w:t>Na sequência, efetuamos o ajuste dos índices através do Índice de Preços ao Consumidor dos Estados Unidos, para transformar os mesmos em índices reais, ou seja, descontando-se a inflação. Tais números estão disponíveis no Bureau of Labor Statistics (</w:t>
      </w:r>
      <w:hyperlink r:id="rId11" w:history="1">
        <w:r w:rsidRPr="00CB6EC3">
          <w:rPr>
            <w:rStyle w:val="Hyperlink"/>
            <w:rFonts w:ascii="Arial" w:hAnsi="Arial" w:cs="Arial"/>
          </w:rPr>
          <w:t>www.bls.gov</w:t>
        </w:r>
      </w:hyperlink>
      <w:r>
        <w:rPr>
          <w:rFonts w:ascii="Arial" w:hAnsi="Arial" w:cs="Arial"/>
        </w:rPr>
        <w:t>). Chegamos aos seguintes resultados.</w:t>
      </w:r>
    </w:p>
    <w:p w:rsidR="00F15F2B" w:rsidRDefault="00F15F2B" w:rsidP="0042402A">
      <w:pPr>
        <w:jc w:val="both"/>
        <w:rPr>
          <w:rFonts w:ascii="Arial" w:hAnsi="Arial" w:cs="Arial"/>
        </w:rPr>
      </w:pPr>
    </w:p>
    <w:p w:rsidR="005E184F" w:rsidRDefault="005E184F" w:rsidP="0042402A">
      <w:pPr>
        <w:jc w:val="both"/>
        <w:rPr>
          <w:rFonts w:ascii="Arial" w:hAnsi="Arial" w:cs="Arial"/>
        </w:rPr>
      </w:pPr>
    </w:p>
    <w:p w:rsidR="00F15F2B" w:rsidRPr="0042402A" w:rsidRDefault="005E184F" w:rsidP="00F15F2B">
      <w:pPr>
        <w:jc w:val="center"/>
        <w:rPr>
          <w:rFonts w:ascii="Arial" w:hAnsi="Arial" w:cs="Arial"/>
        </w:rPr>
      </w:pPr>
      <w:r>
        <w:rPr>
          <w:rFonts w:ascii="Arial" w:hAnsi="Arial" w:cs="Arial"/>
          <w:noProof/>
        </w:rPr>
        <w:drawing>
          <wp:inline distT="0" distB="0" distL="0" distR="0" wp14:anchorId="1C420862">
            <wp:extent cx="3891600" cy="2340000"/>
            <wp:effectExtent l="0" t="0" r="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1600" cy="2340000"/>
                    </a:xfrm>
                    <a:prstGeom prst="rect">
                      <a:avLst/>
                    </a:prstGeom>
                    <a:noFill/>
                  </pic:spPr>
                </pic:pic>
              </a:graphicData>
            </a:graphic>
          </wp:inline>
        </w:drawing>
      </w:r>
    </w:p>
    <w:p w:rsidR="00047C6B" w:rsidRDefault="00047C6B" w:rsidP="00047C6B">
      <w:pPr>
        <w:jc w:val="center"/>
        <w:rPr>
          <w:rFonts w:ascii="Arial" w:hAnsi="Arial" w:cs="Arial"/>
        </w:rPr>
      </w:pPr>
      <w:r>
        <w:rPr>
          <w:rFonts w:ascii="Arial" w:hAnsi="Arial" w:cs="Arial"/>
          <w:b/>
        </w:rPr>
        <w:t xml:space="preserve">Figura 3: </w:t>
      </w:r>
      <w:r>
        <w:rPr>
          <w:rFonts w:ascii="Arial" w:hAnsi="Arial" w:cs="Arial"/>
        </w:rPr>
        <w:t>Índice de preços de obras de Henri Matisse, em dólares reais</w:t>
      </w:r>
    </w:p>
    <w:p w:rsidR="00D90E48" w:rsidRDefault="00D90E48" w:rsidP="00D90E48">
      <w:pPr>
        <w:jc w:val="both"/>
        <w:rPr>
          <w:rFonts w:ascii="Arial" w:hAnsi="Arial" w:cs="Arial"/>
        </w:rPr>
      </w:pPr>
    </w:p>
    <w:p w:rsidR="00792447" w:rsidRDefault="00792447" w:rsidP="00D90E48">
      <w:pPr>
        <w:jc w:val="both"/>
        <w:rPr>
          <w:rFonts w:ascii="Arial" w:hAnsi="Arial" w:cs="Arial"/>
        </w:rPr>
      </w:pPr>
    </w:p>
    <w:p w:rsidR="00047C6B" w:rsidRPr="00D90E48" w:rsidRDefault="00047C6B" w:rsidP="00D90E48">
      <w:pPr>
        <w:jc w:val="both"/>
        <w:rPr>
          <w:rFonts w:ascii="Arial" w:hAnsi="Arial" w:cs="Arial"/>
        </w:rPr>
      </w:pPr>
      <w:r>
        <w:rPr>
          <w:rFonts w:ascii="Arial" w:hAnsi="Arial" w:cs="Arial"/>
        </w:rPr>
        <w:tab/>
        <w:t>A variabilidade, em termos reais, é inferior àquela observada em termos nominais. Mas pode-se perceber que ela ainda é elevada. A rentabilidade real no mesmo período (2001-2018) é de -1,1% ao ano.</w:t>
      </w:r>
    </w:p>
    <w:p w:rsidR="00CC4EF3" w:rsidRDefault="00CC4EF3" w:rsidP="00CC4EF3">
      <w:pPr>
        <w:jc w:val="center"/>
        <w:rPr>
          <w:rFonts w:ascii="Arial" w:hAnsi="Arial" w:cs="Arial"/>
        </w:rPr>
      </w:pPr>
    </w:p>
    <w:p w:rsidR="007975ED" w:rsidRDefault="007975ED" w:rsidP="00CC4EF3">
      <w:pPr>
        <w:jc w:val="center"/>
        <w:rPr>
          <w:rFonts w:ascii="Arial" w:hAnsi="Arial" w:cs="Arial"/>
        </w:rPr>
      </w:pPr>
    </w:p>
    <w:p w:rsidR="001C3D6C" w:rsidRDefault="001C3D6C" w:rsidP="00564C27">
      <w:pPr>
        <w:jc w:val="both"/>
        <w:rPr>
          <w:rFonts w:ascii="Arial" w:hAnsi="Arial" w:cs="Arial"/>
          <w:b/>
        </w:rPr>
      </w:pPr>
    </w:p>
    <w:p w:rsidR="00F06EE4" w:rsidRDefault="00412A95" w:rsidP="00564C27">
      <w:pPr>
        <w:jc w:val="both"/>
        <w:rPr>
          <w:rFonts w:ascii="Arial" w:hAnsi="Arial" w:cs="Arial"/>
          <w:b/>
        </w:rPr>
      </w:pPr>
      <w:r>
        <w:rPr>
          <w:rFonts w:ascii="Arial" w:hAnsi="Arial" w:cs="Arial"/>
          <w:b/>
        </w:rPr>
        <w:t xml:space="preserve">6. CONCLUSÕES </w:t>
      </w:r>
    </w:p>
    <w:p w:rsidR="00412A95" w:rsidRDefault="00412A95" w:rsidP="00564C27">
      <w:pPr>
        <w:jc w:val="both"/>
        <w:rPr>
          <w:rFonts w:ascii="Arial" w:hAnsi="Arial" w:cs="Arial"/>
          <w:b/>
        </w:rPr>
      </w:pPr>
    </w:p>
    <w:p w:rsidR="00016BD0" w:rsidRDefault="00412A95" w:rsidP="00DC5B46">
      <w:pPr>
        <w:jc w:val="both"/>
        <w:rPr>
          <w:rFonts w:ascii="Arial" w:hAnsi="Arial" w:cs="Arial"/>
        </w:rPr>
      </w:pPr>
      <w:r>
        <w:rPr>
          <w:rFonts w:ascii="Arial" w:hAnsi="Arial" w:cs="Arial"/>
          <w:b/>
        </w:rPr>
        <w:tab/>
      </w:r>
      <w:r w:rsidR="00156967">
        <w:rPr>
          <w:rFonts w:ascii="Arial" w:hAnsi="Arial" w:cs="Arial"/>
        </w:rPr>
        <w:t xml:space="preserve">A rentabilidade de obras de Henri Matisse, em termos reais, foi significativamente baixa, de -1,1% ao ano. O resultado foi inferior a </w:t>
      </w:r>
      <w:r w:rsidR="00110287">
        <w:rPr>
          <w:rFonts w:ascii="Arial" w:hAnsi="Arial" w:cs="Arial"/>
        </w:rPr>
        <w:t>maior parte dos estudos,</w:t>
      </w:r>
      <w:r w:rsidR="00EE5E99">
        <w:rPr>
          <w:rFonts w:ascii="Arial" w:hAnsi="Arial" w:cs="Arial"/>
        </w:rPr>
        <w:t xml:space="preserve"> apresentando uma rentabilidade superior apenas a </w:t>
      </w:r>
      <w:r w:rsidR="008266E7" w:rsidRPr="008266E7">
        <w:rPr>
          <w:rFonts w:ascii="Arial" w:hAnsi="Arial" w:cs="Arial"/>
        </w:rPr>
        <w:t>Locatelli-Biey</w:t>
      </w:r>
      <w:r w:rsidR="00EE5E99">
        <w:rPr>
          <w:rFonts w:ascii="Arial" w:hAnsi="Arial" w:cs="Arial"/>
        </w:rPr>
        <w:t xml:space="preserve"> e Zanola (2002)</w:t>
      </w:r>
      <w:r w:rsidR="00156967">
        <w:rPr>
          <w:rFonts w:ascii="Arial" w:hAnsi="Arial" w:cs="Arial"/>
        </w:rPr>
        <w:t>.</w:t>
      </w:r>
    </w:p>
    <w:p w:rsidR="00156967" w:rsidRDefault="00156967" w:rsidP="00DC5B46">
      <w:pPr>
        <w:jc w:val="both"/>
        <w:rPr>
          <w:rFonts w:ascii="Arial" w:hAnsi="Arial" w:cs="Arial"/>
        </w:rPr>
      </w:pPr>
      <w:r>
        <w:rPr>
          <w:rFonts w:ascii="Arial" w:hAnsi="Arial" w:cs="Arial"/>
        </w:rPr>
        <w:tab/>
        <w:t>Uma possível explicação é de que Henri Matisse não seja um artista com interesse no mercado. No entanto, não parece ser razoável essa hipótese, pois ele tem sido, ao longo do tempo, um dos artistas com maior volume de vendas</w:t>
      </w:r>
      <w:r w:rsidR="00B41B91">
        <w:rPr>
          <w:rFonts w:ascii="Arial" w:hAnsi="Arial" w:cs="Arial"/>
        </w:rPr>
        <w:t>, tendo estado entre os 50 mais vendidos nos últimos 5 anos</w:t>
      </w:r>
      <w:r>
        <w:rPr>
          <w:rStyle w:val="Refdenotaderodap"/>
          <w:rFonts w:ascii="Arial" w:hAnsi="Arial" w:cs="Arial"/>
        </w:rPr>
        <w:footnoteReference w:id="1"/>
      </w:r>
      <w:r w:rsidR="00B41B91">
        <w:rPr>
          <w:rFonts w:ascii="Arial" w:hAnsi="Arial" w:cs="Arial"/>
        </w:rPr>
        <w:t xml:space="preserve">. Como obra individual, sua </w:t>
      </w:r>
      <w:r w:rsidR="00B41B91">
        <w:rPr>
          <w:rFonts w:ascii="Arial" w:hAnsi="Arial" w:cs="Arial"/>
          <w:i/>
        </w:rPr>
        <w:t>Odalisque couchée aux magnolias</w:t>
      </w:r>
      <w:r w:rsidR="00B41B91">
        <w:rPr>
          <w:rFonts w:ascii="Arial" w:hAnsi="Arial" w:cs="Arial"/>
        </w:rPr>
        <w:t xml:space="preserve"> atingiu U$ 80,75 milhões em 2018.</w:t>
      </w:r>
    </w:p>
    <w:p w:rsidR="0089437A" w:rsidRDefault="0089437A" w:rsidP="00DC5B46">
      <w:pPr>
        <w:jc w:val="both"/>
        <w:rPr>
          <w:rFonts w:ascii="Arial" w:hAnsi="Arial" w:cs="Arial"/>
        </w:rPr>
      </w:pPr>
      <w:r>
        <w:rPr>
          <w:rFonts w:ascii="Arial" w:hAnsi="Arial" w:cs="Arial"/>
        </w:rPr>
        <w:lastRenderedPageBreak/>
        <w:tab/>
        <w:t xml:space="preserve">Outro ponto a ser observado é de que os estudos baseados em Reitlinger (1961) podem estar incorretos, pois, segundo Guerzoni (1995), a citada base de dados contém distorções significativas. No entanto, apenas três dos estudos analisados neste artigo baseiam-se </w:t>
      </w:r>
      <w:r w:rsidR="004C7474">
        <w:rPr>
          <w:rFonts w:ascii="Arial" w:hAnsi="Arial" w:cs="Arial"/>
        </w:rPr>
        <w:t>na referida</w:t>
      </w:r>
      <w:r>
        <w:rPr>
          <w:rFonts w:ascii="Arial" w:hAnsi="Arial" w:cs="Arial"/>
        </w:rPr>
        <w:t xml:space="preserve"> base.</w:t>
      </w:r>
    </w:p>
    <w:p w:rsidR="002F7ED9" w:rsidRDefault="002F7ED9" w:rsidP="00DC5B46">
      <w:pPr>
        <w:jc w:val="both"/>
        <w:rPr>
          <w:rFonts w:ascii="Arial" w:hAnsi="Arial" w:cs="Arial"/>
        </w:rPr>
      </w:pPr>
      <w:r>
        <w:rPr>
          <w:rFonts w:ascii="Arial" w:hAnsi="Arial" w:cs="Arial"/>
        </w:rPr>
        <w:tab/>
        <w:t>Um outro ponto a ser observado é a questão da diversificação de investimentos. Neste artigo estudamos a rentabilidade de um artista isolado – Matisse – ao passo que os outros estudos envolvem um número maior de artistas.</w:t>
      </w:r>
      <w:r w:rsidR="00E42E04">
        <w:rPr>
          <w:rFonts w:ascii="Arial" w:hAnsi="Arial" w:cs="Arial"/>
        </w:rPr>
        <w:t xml:space="preserve"> De acordo com Markowitz (1952), portfólios diversificados tendem a incrementar a rentabilidade, diminuindo o risco.</w:t>
      </w:r>
      <w:r w:rsidR="007D1F1E">
        <w:rPr>
          <w:rFonts w:ascii="Arial" w:hAnsi="Arial" w:cs="Arial"/>
        </w:rPr>
        <w:t xml:space="preserve"> </w:t>
      </w:r>
      <w:r w:rsidR="000351D9">
        <w:rPr>
          <w:rFonts w:ascii="Arial" w:hAnsi="Arial" w:cs="Arial"/>
        </w:rPr>
        <w:t>Portanto, é possível que análises de artistas isolados levem a rentabilidades inferiores a conjuntos de artistas, ainda que isso seja um ponto de crítica nas análises de rentabilidades e construção de índices de preços para arte apontada por Holub, Hutter e Tappeiner (1993).</w:t>
      </w:r>
    </w:p>
    <w:p w:rsidR="006A55C3" w:rsidRDefault="006A55C3" w:rsidP="00DC5B46">
      <w:pPr>
        <w:jc w:val="both"/>
        <w:rPr>
          <w:rFonts w:ascii="Arial" w:hAnsi="Arial" w:cs="Arial"/>
        </w:rPr>
      </w:pPr>
      <w:r>
        <w:rPr>
          <w:rFonts w:ascii="Arial" w:hAnsi="Arial" w:cs="Arial"/>
        </w:rPr>
        <w:tab/>
        <w:t xml:space="preserve">A principal conclusão deste artigo é que o mercado de artes não apresenta grande rentabilidade, a despeito das negociações envolvendo valores elevados que são divulgadas. Com efeito, os estudos analisados neste artigo evidenciam rentabilidades inferiores a maioria dos investimentos disponíveis. É razoável supor, conforme discutido </w:t>
      </w:r>
      <w:r w:rsidR="00454C7F">
        <w:rPr>
          <w:rFonts w:ascii="Arial" w:hAnsi="Arial" w:cs="Arial"/>
        </w:rPr>
        <w:t xml:space="preserve">no capítulo </w:t>
      </w:r>
      <w:r>
        <w:rPr>
          <w:rFonts w:ascii="Arial" w:hAnsi="Arial" w:cs="Arial"/>
        </w:rPr>
        <w:t xml:space="preserve">2, que a atitude do comprador de obras de arte não é voltada, exclusivamente, para o retorno financeiro da obra objeto da aquisição, mas também para os aspectos psicológicos, estéticos e sociais de possuir o mesmo. </w:t>
      </w:r>
    </w:p>
    <w:p w:rsidR="00C748F8" w:rsidRDefault="00C748F8" w:rsidP="00DC5B46">
      <w:pPr>
        <w:jc w:val="both"/>
        <w:rPr>
          <w:rFonts w:ascii="Arial" w:hAnsi="Arial" w:cs="Arial"/>
        </w:rPr>
      </w:pPr>
      <w:r>
        <w:rPr>
          <w:rFonts w:ascii="Arial" w:hAnsi="Arial" w:cs="Arial"/>
        </w:rPr>
        <w:tab/>
        <w:t>Por fim, a análise individual para um artista específico mostrou uma rentabilidade inferior às rentabilidades quando foram analisados conjuntos de artistas, o que indica que o problema da diversificação também é aplicável a investimentos em artes, ou seja, para fins de retorno financeiro único e exclusivo, a formação de uma coleção variada, com diversos artistas aparenta apresentar melhor retorno em relação a opção de concentração em um único artista.</w:t>
      </w:r>
      <w:r w:rsidR="008E4606">
        <w:rPr>
          <w:rFonts w:ascii="Arial" w:hAnsi="Arial" w:cs="Arial"/>
        </w:rPr>
        <w:t xml:space="preserve"> Podemos ver isso, também, em Pompe (1996), no qual sua análise de rentabilidade de fotografias, para uma amostra de 25 fotógrafos, conclui por uma taxa anual real de 10,1%, ao passo que alguns fotógrafos, quando analisados individualmente, exibiam taxas bem menores, ou até negativas, como o caso, por exemplo, de Édouard Baldus, com uma rentabilidade de -62,8%.</w:t>
      </w:r>
    </w:p>
    <w:p w:rsidR="007975ED" w:rsidRDefault="005628AF" w:rsidP="00DC5B46">
      <w:pPr>
        <w:jc w:val="both"/>
        <w:rPr>
          <w:rFonts w:ascii="Arial" w:hAnsi="Arial" w:cs="Arial"/>
        </w:rPr>
      </w:pPr>
      <w:r>
        <w:rPr>
          <w:rFonts w:ascii="Arial" w:hAnsi="Arial" w:cs="Arial"/>
        </w:rPr>
        <w:tab/>
        <w:t xml:space="preserve">Como recomendações para futuros trabalhos, uma expansão da função dos preços hedônicos, considerando, por exemplo, a temática da obra (se nú, paisagem, retrato, natureza morta, etc.), a análise das casas de leilão (Christie’s, Sotheby’s e outras) e o mês do ano no qual foi executado o leilão. </w:t>
      </w:r>
    </w:p>
    <w:p w:rsidR="005628AF" w:rsidRPr="001C3D6C" w:rsidRDefault="005628AF" w:rsidP="007975ED">
      <w:pPr>
        <w:ind w:firstLine="709"/>
        <w:jc w:val="both"/>
        <w:rPr>
          <w:rFonts w:ascii="Arial" w:hAnsi="Arial" w:cs="Arial"/>
        </w:rPr>
      </w:pPr>
      <w:r>
        <w:rPr>
          <w:rFonts w:ascii="Arial" w:hAnsi="Arial" w:cs="Arial"/>
        </w:rPr>
        <w:t>Outra possibilidade seria efetuar análises em linha com outros estudos, ou seja, com um número maior de artistas</w:t>
      </w:r>
      <w:r w:rsidR="007975ED">
        <w:rPr>
          <w:rFonts w:ascii="Arial" w:hAnsi="Arial" w:cs="Arial"/>
        </w:rPr>
        <w:t>, classificando os mesmos por períodos, por movimentos, por temáticas.</w:t>
      </w:r>
      <w:r w:rsidR="0038399F">
        <w:rPr>
          <w:rFonts w:ascii="Arial" w:hAnsi="Arial" w:cs="Arial"/>
        </w:rPr>
        <w:t xml:space="preserve"> Também poderiam ser estudas as rentabilidades de esculturas, um tipo de obra de arte ainda pouco analisada nos trabalhos, mas que tem atingido elevados valores em leilões, como, por exemplo, </w:t>
      </w:r>
      <w:r w:rsidR="0038399F">
        <w:rPr>
          <w:rFonts w:ascii="Arial" w:hAnsi="Arial" w:cs="Arial"/>
          <w:i/>
        </w:rPr>
        <w:t>L’Home au Doigt</w:t>
      </w:r>
      <w:r w:rsidR="0038399F">
        <w:rPr>
          <w:rFonts w:ascii="Arial" w:hAnsi="Arial" w:cs="Arial"/>
        </w:rPr>
        <w:t xml:space="preserve">, de Alberto Giacometti, vendida por U$ 141 milhões, em 2015, ou uma escultura de Matisse, denominada </w:t>
      </w:r>
      <w:r w:rsidR="0038399F">
        <w:rPr>
          <w:rFonts w:ascii="Arial" w:hAnsi="Arial" w:cs="Arial"/>
          <w:i/>
        </w:rPr>
        <w:t xml:space="preserve">Nu de Dos, </w:t>
      </w:r>
      <w:r w:rsidR="001C3D6C">
        <w:rPr>
          <w:rFonts w:ascii="Arial" w:hAnsi="Arial" w:cs="Arial"/>
          <w:i/>
        </w:rPr>
        <w:t xml:space="preserve">4eme </w:t>
      </w:r>
      <w:r w:rsidR="00792447">
        <w:rPr>
          <w:rFonts w:ascii="Arial" w:hAnsi="Arial" w:cs="Arial"/>
          <w:i/>
        </w:rPr>
        <w:t>E</w:t>
      </w:r>
      <w:r w:rsidR="001C3D6C">
        <w:rPr>
          <w:rFonts w:ascii="Arial" w:hAnsi="Arial" w:cs="Arial"/>
          <w:i/>
        </w:rPr>
        <w:t>tat</w:t>
      </w:r>
      <w:r w:rsidR="001C3D6C">
        <w:rPr>
          <w:rFonts w:ascii="Arial" w:hAnsi="Arial" w:cs="Arial"/>
        </w:rPr>
        <w:t>, vendida por U$ 35 milhões, em 2010.</w:t>
      </w:r>
    </w:p>
    <w:p w:rsidR="00016BD0" w:rsidRDefault="00016BD0" w:rsidP="00564C27">
      <w:pPr>
        <w:jc w:val="both"/>
        <w:rPr>
          <w:rFonts w:ascii="Arial" w:hAnsi="Arial" w:cs="Arial"/>
        </w:rPr>
      </w:pPr>
    </w:p>
    <w:p w:rsidR="007A5146" w:rsidRDefault="007A5146" w:rsidP="00564C27">
      <w:pPr>
        <w:jc w:val="both"/>
        <w:rPr>
          <w:rFonts w:ascii="Arial" w:hAnsi="Arial" w:cs="Arial"/>
        </w:rPr>
      </w:pPr>
    </w:p>
    <w:p w:rsidR="00D02A69" w:rsidRDefault="005768F3" w:rsidP="00564C27">
      <w:pPr>
        <w:jc w:val="both"/>
        <w:rPr>
          <w:rFonts w:ascii="Arial" w:hAnsi="Arial" w:cs="Arial"/>
          <w:b/>
        </w:rPr>
      </w:pPr>
      <w:r w:rsidRPr="007A5146">
        <w:rPr>
          <w:rFonts w:ascii="Arial" w:hAnsi="Arial" w:cs="Arial"/>
        </w:rPr>
        <w:br w:type="page"/>
      </w:r>
      <w:r w:rsidR="00D84CD8">
        <w:rPr>
          <w:rFonts w:ascii="Arial" w:hAnsi="Arial" w:cs="Arial"/>
          <w:b/>
        </w:rPr>
        <w:lastRenderedPageBreak/>
        <w:t>7</w:t>
      </w:r>
      <w:r w:rsidR="00D02A69">
        <w:rPr>
          <w:rFonts w:ascii="Arial" w:hAnsi="Arial" w:cs="Arial"/>
          <w:b/>
        </w:rPr>
        <w:t>. BIBLIOGRAFIA</w:t>
      </w:r>
    </w:p>
    <w:p w:rsidR="00D02A69" w:rsidRDefault="00D02A69" w:rsidP="00564C27">
      <w:pPr>
        <w:jc w:val="both"/>
        <w:rPr>
          <w:rFonts w:ascii="Arial" w:hAnsi="Arial" w:cs="Arial"/>
          <w:b/>
        </w:rPr>
      </w:pPr>
    </w:p>
    <w:p w:rsidR="00D02A69" w:rsidRPr="003E7772" w:rsidRDefault="003E7772" w:rsidP="00564C27">
      <w:pPr>
        <w:jc w:val="both"/>
        <w:rPr>
          <w:rFonts w:ascii="Arial" w:hAnsi="Arial" w:cs="Arial"/>
        </w:rPr>
      </w:pPr>
      <w:r>
        <w:rPr>
          <w:rFonts w:ascii="Arial" w:hAnsi="Arial" w:cs="Arial"/>
        </w:rPr>
        <w:t xml:space="preserve">Anderson, R.C. </w:t>
      </w:r>
      <w:r>
        <w:rPr>
          <w:rFonts w:ascii="Arial" w:hAnsi="Arial" w:cs="Arial"/>
          <w:i/>
        </w:rPr>
        <w:t>Painting as an investment</w:t>
      </w:r>
      <w:r>
        <w:rPr>
          <w:rFonts w:ascii="Arial" w:hAnsi="Arial" w:cs="Arial"/>
        </w:rPr>
        <w:t>. Economic Inquiry. Vol. 12, 1974, pp. 13-26;</w:t>
      </w:r>
    </w:p>
    <w:p w:rsidR="003E7772" w:rsidRDefault="003E7772" w:rsidP="00564C27">
      <w:pPr>
        <w:jc w:val="both"/>
        <w:rPr>
          <w:rFonts w:ascii="Arial" w:hAnsi="Arial" w:cs="Arial"/>
          <w:b/>
        </w:rPr>
      </w:pPr>
    </w:p>
    <w:p w:rsidR="00B31AB5" w:rsidRDefault="00E6078D" w:rsidP="00564C27">
      <w:pPr>
        <w:jc w:val="both"/>
        <w:rPr>
          <w:rFonts w:ascii="Arial" w:hAnsi="Arial" w:cs="Arial"/>
        </w:rPr>
      </w:pPr>
      <w:r w:rsidRPr="00E6078D">
        <w:rPr>
          <w:rFonts w:ascii="Arial" w:hAnsi="Arial" w:cs="Arial"/>
        </w:rPr>
        <w:t>Art</w:t>
      </w:r>
      <w:r>
        <w:rPr>
          <w:rFonts w:ascii="Arial" w:hAnsi="Arial" w:cs="Arial"/>
        </w:rPr>
        <w:t xml:space="preserve">price. </w:t>
      </w:r>
      <w:r w:rsidRPr="00E6078D">
        <w:rPr>
          <w:rFonts w:ascii="Arial" w:hAnsi="Arial" w:cs="Arial"/>
          <w:i/>
        </w:rPr>
        <w:t>The art Market in 2018</w:t>
      </w:r>
      <w:r>
        <w:rPr>
          <w:rFonts w:ascii="Arial" w:hAnsi="Arial" w:cs="Arial"/>
        </w:rPr>
        <w:t xml:space="preserve">. 2019. Disponível em </w:t>
      </w:r>
      <w:hyperlink r:id="rId13" w:history="1">
        <w:r w:rsidRPr="0012390C">
          <w:rPr>
            <w:rStyle w:val="Hyperlink"/>
            <w:rFonts w:ascii="Arial" w:hAnsi="Arial" w:cs="Arial"/>
          </w:rPr>
          <w:t>https://www.artprice.com/artprice-reports/the-art-market-in-2018</w:t>
        </w:r>
      </w:hyperlink>
      <w:r>
        <w:rPr>
          <w:rFonts w:ascii="Arial" w:hAnsi="Arial" w:cs="Arial"/>
        </w:rPr>
        <w:t>. Acesso em 17 de maio de 2019;</w:t>
      </w:r>
    </w:p>
    <w:p w:rsidR="00C4570A" w:rsidRDefault="00C4570A" w:rsidP="00564C27">
      <w:pPr>
        <w:jc w:val="both"/>
        <w:rPr>
          <w:rFonts w:ascii="Arial" w:hAnsi="Arial" w:cs="Arial"/>
        </w:rPr>
      </w:pPr>
    </w:p>
    <w:p w:rsidR="00C4570A" w:rsidRPr="00C4570A" w:rsidRDefault="00C4570A" w:rsidP="00564C27">
      <w:pPr>
        <w:jc w:val="both"/>
        <w:rPr>
          <w:rFonts w:ascii="Arial" w:hAnsi="Arial" w:cs="Arial"/>
        </w:rPr>
      </w:pPr>
      <w:r>
        <w:rPr>
          <w:rFonts w:ascii="Arial" w:hAnsi="Arial" w:cs="Arial"/>
        </w:rPr>
        <w:t xml:space="preserve">Bartik, T.J. </w:t>
      </w:r>
      <w:r>
        <w:rPr>
          <w:rFonts w:ascii="Arial" w:hAnsi="Arial" w:cs="Arial"/>
          <w:i/>
        </w:rPr>
        <w:t>The estimation of demand parameters in hedonic price models</w:t>
      </w:r>
      <w:r>
        <w:rPr>
          <w:rFonts w:ascii="Arial" w:hAnsi="Arial" w:cs="Arial"/>
        </w:rPr>
        <w:t>. The Journal of Political Economy. Vol. 95, No. 1, 1987, pp. 81-88;</w:t>
      </w:r>
    </w:p>
    <w:p w:rsidR="003E7772" w:rsidRDefault="003E7772" w:rsidP="00564C27">
      <w:pPr>
        <w:jc w:val="both"/>
        <w:rPr>
          <w:rFonts w:ascii="Arial" w:hAnsi="Arial" w:cs="Arial"/>
        </w:rPr>
      </w:pPr>
    </w:p>
    <w:p w:rsidR="003E7772" w:rsidRDefault="003E7772" w:rsidP="00564C27">
      <w:pPr>
        <w:jc w:val="both"/>
        <w:rPr>
          <w:rFonts w:ascii="Arial" w:hAnsi="Arial" w:cs="Arial"/>
        </w:rPr>
      </w:pPr>
      <w:r>
        <w:rPr>
          <w:rFonts w:ascii="Arial" w:hAnsi="Arial" w:cs="Arial"/>
        </w:rPr>
        <w:t xml:space="preserve">Baumol, W. </w:t>
      </w:r>
      <w:r w:rsidR="007A0CAE">
        <w:rPr>
          <w:rFonts w:ascii="Arial" w:hAnsi="Arial" w:cs="Arial"/>
          <w:i/>
        </w:rPr>
        <w:t>Unnatural value or art investment as a floating crap game</w:t>
      </w:r>
      <w:r w:rsidR="007A0CAE">
        <w:rPr>
          <w:rFonts w:ascii="Arial" w:hAnsi="Arial" w:cs="Arial"/>
        </w:rPr>
        <w:t>. American Economic Review. Vol. 76, 1986, pp. 10-14;</w:t>
      </w:r>
    </w:p>
    <w:p w:rsidR="009900FB" w:rsidRDefault="009900FB" w:rsidP="00564C27">
      <w:pPr>
        <w:jc w:val="both"/>
        <w:rPr>
          <w:rFonts w:ascii="Arial" w:hAnsi="Arial" w:cs="Arial"/>
        </w:rPr>
      </w:pPr>
    </w:p>
    <w:p w:rsidR="009900FB" w:rsidRPr="009900FB" w:rsidRDefault="009900FB" w:rsidP="00564C27">
      <w:pPr>
        <w:jc w:val="both"/>
        <w:rPr>
          <w:rFonts w:ascii="Arial" w:hAnsi="Arial" w:cs="Arial"/>
        </w:rPr>
      </w:pPr>
      <w:r>
        <w:rPr>
          <w:rFonts w:ascii="Arial" w:hAnsi="Arial" w:cs="Arial"/>
        </w:rPr>
        <w:t xml:space="preserve">Bocat, F., Ghysels, E. e Hafner, C. </w:t>
      </w:r>
      <w:r>
        <w:rPr>
          <w:rFonts w:ascii="Arial" w:hAnsi="Arial" w:cs="Arial"/>
          <w:i/>
        </w:rPr>
        <w:t xml:space="preserve">Monthly art </w:t>
      </w:r>
      <w:r w:rsidR="00897DD9">
        <w:rPr>
          <w:rFonts w:ascii="Arial" w:hAnsi="Arial" w:cs="Arial"/>
          <w:i/>
        </w:rPr>
        <w:t>m</w:t>
      </w:r>
      <w:bookmarkStart w:id="0" w:name="_GoBack"/>
      <w:bookmarkEnd w:id="0"/>
      <w:r>
        <w:rPr>
          <w:rFonts w:ascii="Arial" w:hAnsi="Arial" w:cs="Arial"/>
          <w:i/>
        </w:rPr>
        <w:t>arket returns</w:t>
      </w:r>
      <w:r>
        <w:rPr>
          <w:rFonts w:ascii="Arial" w:hAnsi="Arial" w:cs="Arial"/>
        </w:rPr>
        <w:t xml:space="preserve">. </w:t>
      </w:r>
      <w:r w:rsidRPr="009900FB">
        <w:rPr>
          <w:rFonts w:ascii="Arial" w:hAnsi="Arial" w:cs="Arial"/>
        </w:rPr>
        <w:t>SSRN Electronic Journal. 10.2139/ssrn.3080464</w:t>
      </w:r>
      <w:r>
        <w:rPr>
          <w:rFonts w:ascii="Arial" w:hAnsi="Arial" w:cs="Arial"/>
        </w:rPr>
        <w:t>, 2017;</w:t>
      </w:r>
    </w:p>
    <w:p w:rsidR="00F25938" w:rsidRDefault="00F25938" w:rsidP="00564C27">
      <w:pPr>
        <w:jc w:val="both"/>
        <w:rPr>
          <w:rFonts w:ascii="Arial" w:hAnsi="Arial" w:cs="Arial"/>
        </w:rPr>
      </w:pPr>
    </w:p>
    <w:p w:rsidR="00F25938" w:rsidRDefault="00F25938" w:rsidP="00564C27">
      <w:pPr>
        <w:jc w:val="both"/>
        <w:rPr>
          <w:rFonts w:ascii="Arial" w:hAnsi="Arial" w:cs="Arial"/>
        </w:rPr>
      </w:pPr>
      <w:r>
        <w:rPr>
          <w:rFonts w:ascii="Arial" w:hAnsi="Arial" w:cs="Arial"/>
        </w:rPr>
        <w:t xml:space="preserve">Buelens, B. e Ginsburgh, V. </w:t>
      </w:r>
      <w:r>
        <w:rPr>
          <w:rFonts w:ascii="Arial" w:hAnsi="Arial" w:cs="Arial"/>
          <w:i/>
        </w:rPr>
        <w:t>Revisiting Baumol’s “Art as a floating crap game”</w:t>
      </w:r>
      <w:r>
        <w:rPr>
          <w:rFonts w:ascii="Arial" w:hAnsi="Arial" w:cs="Arial"/>
        </w:rPr>
        <w:t>. European Economic Review. Vol 37, No. 7, 1992, pp. 1.351-1.371;</w:t>
      </w:r>
    </w:p>
    <w:p w:rsidR="007F7244" w:rsidRDefault="007F7244" w:rsidP="00564C27">
      <w:pPr>
        <w:jc w:val="both"/>
        <w:rPr>
          <w:rFonts w:ascii="Arial" w:hAnsi="Arial" w:cs="Arial"/>
        </w:rPr>
      </w:pPr>
    </w:p>
    <w:p w:rsidR="007F7244" w:rsidRPr="00D52320" w:rsidRDefault="007F7244" w:rsidP="00564C27">
      <w:pPr>
        <w:jc w:val="both"/>
        <w:rPr>
          <w:rFonts w:ascii="Arial" w:hAnsi="Arial" w:cs="Arial"/>
        </w:rPr>
      </w:pPr>
      <w:r>
        <w:rPr>
          <w:rFonts w:ascii="Arial" w:hAnsi="Arial" w:cs="Arial"/>
        </w:rPr>
        <w:t xml:space="preserve">Byalnicka-Birula, J. </w:t>
      </w:r>
      <w:r>
        <w:rPr>
          <w:rFonts w:ascii="Arial" w:hAnsi="Arial" w:cs="Arial"/>
          <w:i/>
        </w:rPr>
        <w:t xml:space="preserve">Investment in art </w:t>
      </w:r>
      <w:r w:rsidR="00D52320">
        <w:rPr>
          <w:rFonts w:ascii="Arial" w:hAnsi="Arial" w:cs="Arial"/>
          <w:i/>
        </w:rPr>
        <w:t>– Specificity, risks and rates of return</w:t>
      </w:r>
      <w:r w:rsidR="00D52320">
        <w:rPr>
          <w:rFonts w:ascii="Arial" w:hAnsi="Arial" w:cs="Arial"/>
        </w:rPr>
        <w:t>. Proceedings of the 14</w:t>
      </w:r>
      <w:r w:rsidR="00D52320">
        <w:rPr>
          <w:rFonts w:ascii="Arial" w:hAnsi="Arial" w:cs="Arial"/>
          <w:vertAlign w:val="superscript"/>
        </w:rPr>
        <w:t>th</w:t>
      </w:r>
      <w:r w:rsidR="00D52320">
        <w:rPr>
          <w:rFonts w:ascii="Arial" w:hAnsi="Arial" w:cs="Arial"/>
        </w:rPr>
        <w:t xml:space="preserve"> International Conference on Finance and Banking, Ostrava, 2013. Disponível em</w:t>
      </w:r>
      <w:r w:rsidR="00D52320" w:rsidRPr="00D52320">
        <w:rPr>
          <w:rFonts w:ascii="Arial" w:hAnsi="Arial" w:cs="Arial"/>
        </w:rPr>
        <w:t xml:space="preserve"> </w:t>
      </w:r>
      <w:hyperlink r:id="rId14" w:history="1">
        <w:r w:rsidR="00D52320" w:rsidRPr="00CB6EC3">
          <w:rPr>
            <w:rStyle w:val="Hyperlink"/>
            <w:rFonts w:ascii="Arial" w:hAnsi="Arial" w:cs="Arial"/>
          </w:rPr>
          <w:t>http://icfb.rs.opf.slu.cz/content/conference-proceedings</w:t>
        </w:r>
      </w:hyperlink>
      <w:r w:rsidR="00D52320">
        <w:rPr>
          <w:rFonts w:ascii="Arial" w:hAnsi="Arial" w:cs="Arial"/>
        </w:rPr>
        <w:t>. Acesso em 30 de maio de 2019;</w:t>
      </w:r>
    </w:p>
    <w:p w:rsidR="00D95E85" w:rsidRDefault="00D95E85" w:rsidP="00564C27">
      <w:pPr>
        <w:jc w:val="both"/>
        <w:rPr>
          <w:rFonts w:ascii="Arial" w:hAnsi="Arial" w:cs="Arial"/>
        </w:rPr>
      </w:pPr>
    </w:p>
    <w:p w:rsidR="00D95E85" w:rsidRPr="00D95E85" w:rsidRDefault="00D95E85" w:rsidP="00564C27">
      <w:pPr>
        <w:jc w:val="both"/>
        <w:rPr>
          <w:rFonts w:ascii="Arial" w:hAnsi="Arial" w:cs="Arial"/>
        </w:rPr>
      </w:pPr>
      <w:r>
        <w:rPr>
          <w:rFonts w:ascii="Arial" w:hAnsi="Arial" w:cs="Arial"/>
        </w:rPr>
        <w:t xml:space="preserve">Candela, G., Figini, P. e Scorcu, A. </w:t>
      </w:r>
      <w:r>
        <w:rPr>
          <w:rFonts w:ascii="Arial" w:hAnsi="Arial" w:cs="Arial"/>
          <w:i/>
        </w:rPr>
        <w:t xml:space="preserve">Prices </w:t>
      </w:r>
      <w:r w:rsidR="00503C9C">
        <w:rPr>
          <w:rFonts w:ascii="Arial" w:hAnsi="Arial" w:cs="Arial"/>
          <w:i/>
        </w:rPr>
        <w:t>i</w:t>
      </w:r>
      <w:r>
        <w:rPr>
          <w:rFonts w:ascii="Arial" w:hAnsi="Arial" w:cs="Arial"/>
          <w:i/>
        </w:rPr>
        <w:t>ndices for artists – a proposal</w:t>
      </w:r>
      <w:r>
        <w:rPr>
          <w:rFonts w:ascii="Arial" w:hAnsi="Arial" w:cs="Arial"/>
        </w:rPr>
        <w:t>. Journal of Cultural Economics. Vol. 28, No. 4, 2004, pp. 285-302;</w:t>
      </w:r>
    </w:p>
    <w:p w:rsidR="003D2452" w:rsidRDefault="003D2452" w:rsidP="00564C27">
      <w:pPr>
        <w:jc w:val="both"/>
        <w:rPr>
          <w:rFonts w:ascii="Arial" w:hAnsi="Arial" w:cs="Arial"/>
        </w:rPr>
      </w:pPr>
    </w:p>
    <w:p w:rsidR="003D2452" w:rsidRDefault="003D2452" w:rsidP="00564C27">
      <w:pPr>
        <w:jc w:val="both"/>
        <w:rPr>
          <w:rFonts w:ascii="Arial" w:hAnsi="Arial" w:cs="Arial"/>
        </w:rPr>
      </w:pPr>
      <w:r>
        <w:rPr>
          <w:rFonts w:ascii="Arial" w:hAnsi="Arial" w:cs="Arial"/>
        </w:rPr>
        <w:t xml:space="preserve">Chanel, O., Gerard-Varet, L.A. e Ginsburgh, V. </w:t>
      </w:r>
      <w:r>
        <w:rPr>
          <w:rFonts w:ascii="Arial" w:hAnsi="Arial" w:cs="Arial"/>
          <w:i/>
        </w:rPr>
        <w:t>Prices and returns on paintings: An exercise on how to</w:t>
      </w:r>
      <w:r w:rsidR="00503C9C">
        <w:rPr>
          <w:rFonts w:ascii="Arial" w:hAnsi="Arial" w:cs="Arial"/>
          <w:i/>
        </w:rPr>
        <w:t xml:space="preserve"> </w:t>
      </w:r>
      <w:r>
        <w:rPr>
          <w:rFonts w:ascii="Arial" w:hAnsi="Arial" w:cs="Arial"/>
          <w:i/>
        </w:rPr>
        <w:t>price the unpriceless</w:t>
      </w:r>
      <w:r>
        <w:rPr>
          <w:rFonts w:ascii="Arial" w:hAnsi="Arial" w:cs="Arial"/>
        </w:rPr>
        <w:t>. The Geneva Papers on Risk and Insurance Theory. Vol. 19, 1994, pp. 7-21;</w:t>
      </w:r>
    </w:p>
    <w:p w:rsidR="00370E67" w:rsidRDefault="00370E67" w:rsidP="00564C27">
      <w:pPr>
        <w:jc w:val="both"/>
        <w:rPr>
          <w:rFonts w:ascii="Arial" w:hAnsi="Arial" w:cs="Arial"/>
        </w:rPr>
      </w:pPr>
    </w:p>
    <w:p w:rsidR="00370E67" w:rsidRDefault="00370E67" w:rsidP="00564C27">
      <w:pPr>
        <w:jc w:val="both"/>
        <w:rPr>
          <w:rFonts w:ascii="Arial" w:hAnsi="Arial" w:cs="Arial"/>
        </w:rPr>
      </w:pPr>
      <w:r>
        <w:rPr>
          <w:rFonts w:ascii="Arial" w:hAnsi="Arial" w:cs="Arial"/>
        </w:rPr>
        <w:t xml:space="preserve">Chanel, O., Gerard-Varet, L.A. e Ginsburgh, V. </w:t>
      </w:r>
      <w:r>
        <w:rPr>
          <w:rFonts w:ascii="Arial" w:hAnsi="Arial" w:cs="Arial"/>
          <w:i/>
        </w:rPr>
        <w:t>The relevance of hedonic price indixes. The case of paintings</w:t>
      </w:r>
      <w:r>
        <w:rPr>
          <w:rFonts w:ascii="Arial" w:hAnsi="Arial" w:cs="Arial"/>
        </w:rPr>
        <w:t>. J</w:t>
      </w:r>
      <w:r w:rsidR="00386DDD">
        <w:rPr>
          <w:rFonts w:ascii="Arial" w:hAnsi="Arial" w:cs="Arial"/>
        </w:rPr>
        <w:t>ournal of Cultur</w:t>
      </w:r>
      <w:r>
        <w:rPr>
          <w:rFonts w:ascii="Arial" w:hAnsi="Arial" w:cs="Arial"/>
        </w:rPr>
        <w:t>al Economics. Vol. 20, 1996, pp. 1-24;</w:t>
      </w:r>
    </w:p>
    <w:p w:rsidR="00C17C07" w:rsidRDefault="00C17C07" w:rsidP="00564C27">
      <w:pPr>
        <w:jc w:val="both"/>
        <w:rPr>
          <w:rFonts w:ascii="Arial" w:hAnsi="Arial" w:cs="Arial"/>
        </w:rPr>
      </w:pPr>
    </w:p>
    <w:p w:rsidR="00C17C07" w:rsidRDefault="00C17C07" w:rsidP="00564C27">
      <w:pPr>
        <w:jc w:val="both"/>
        <w:rPr>
          <w:rFonts w:ascii="Arial" w:hAnsi="Arial" w:cs="Arial"/>
        </w:rPr>
      </w:pPr>
      <w:r>
        <w:rPr>
          <w:rFonts w:ascii="Arial" w:hAnsi="Arial" w:cs="Arial"/>
        </w:rPr>
        <w:t xml:space="preserve">Charlin, V. e Cifuentes, A. </w:t>
      </w:r>
      <w:r>
        <w:rPr>
          <w:rFonts w:ascii="Arial" w:hAnsi="Arial" w:cs="Arial"/>
          <w:i/>
        </w:rPr>
        <w:t>The art market: What do we now about returns?</w:t>
      </w:r>
      <w:r>
        <w:rPr>
          <w:rFonts w:ascii="Arial" w:hAnsi="Arial" w:cs="Arial"/>
        </w:rPr>
        <w:t xml:space="preserve"> 2015. Disponível em </w:t>
      </w:r>
      <w:hyperlink r:id="rId15" w:history="1">
        <w:r w:rsidRPr="0012390C">
          <w:rPr>
            <w:rStyle w:val="Hyperlink"/>
            <w:rFonts w:ascii="Arial" w:hAnsi="Arial" w:cs="Arial"/>
          </w:rPr>
          <w:t>https://srn.com/abstract=2636269</w:t>
        </w:r>
      </w:hyperlink>
      <w:r>
        <w:rPr>
          <w:rFonts w:ascii="Arial" w:hAnsi="Arial" w:cs="Arial"/>
        </w:rPr>
        <w:t>. Acesso em 31 de maio de 2019;</w:t>
      </w:r>
    </w:p>
    <w:p w:rsidR="00F93F41" w:rsidRDefault="00F93F41" w:rsidP="00564C27">
      <w:pPr>
        <w:jc w:val="both"/>
        <w:rPr>
          <w:rFonts w:ascii="Arial" w:hAnsi="Arial" w:cs="Arial"/>
        </w:rPr>
      </w:pPr>
    </w:p>
    <w:p w:rsidR="00F93F41" w:rsidRPr="00F93F41" w:rsidRDefault="00F93F41" w:rsidP="00564C27">
      <w:pPr>
        <w:jc w:val="both"/>
        <w:rPr>
          <w:rFonts w:ascii="Arial" w:hAnsi="Arial" w:cs="Arial"/>
        </w:rPr>
      </w:pPr>
      <w:r>
        <w:rPr>
          <w:rFonts w:ascii="Arial" w:hAnsi="Arial" w:cs="Arial"/>
        </w:rPr>
        <w:t xml:space="preserve">Court, A.T. </w:t>
      </w:r>
      <w:r>
        <w:rPr>
          <w:rFonts w:ascii="Arial" w:hAnsi="Arial" w:cs="Arial"/>
          <w:i/>
        </w:rPr>
        <w:t>Hedonic price indexes with automotive examples</w:t>
      </w:r>
      <w:r>
        <w:rPr>
          <w:rFonts w:ascii="Arial" w:hAnsi="Arial" w:cs="Arial"/>
        </w:rPr>
        <w:t xml:space="preserve"> in </w:t>
      </w:r>
      <w:r w:rsidR="007F0D0F">
        <w:rPr>
          <w:rFonts w:ascii="Arial" w:hAnsi="Arial" w:cs="Arial"/>
        </w:rPr>
        <w:t xml:space="preserve">General Motors Corporation, American Statistical Society e Econometric Society. </w:t>
      </w:r>
      <w:r>
        <w:rPr>
          <w:rFonts w:ascii="Arial" w:hAnsi="Arial" w:cs="Arial"/>
        </w:rPr>
        <w:t>The Dynamics of Automobile Demand. Nova York: General Motors Corporation, 1939;</w:t>
      </w:r>
    </w:p>
    <w:p w:rsidR="00BE7BB6" w:rsidRDefault="00BE7BB6" w:rsidP="00564C27">
      <w:pPr>
        <w:jc w:val="both"/>
        <w:rPr>
          <w:rFonts w:ascii="Arial" w:hAnsi="Arial" w:cs="Arial"/>
        </w:rPr>
      </w:pPr>
    </w:p>
    <w:p w:rsidR="00BE7BB6" w:rsidRDefault="00BE7BB6" w:rsidP="00564C27">
      <w:pPr>
        <w:jc w:val="both"/>
        <w:rPr>
          <w:rFonts w:ascii="Arial" w:hAnsi="Arial" w:cs="Arial"/>
        </w:rPr>
      </w:pPr>
      <w:r>
        <w:rPr>
          <w:rFonts w:ascii="Arial" w:hAnsi="Arial" w:cs="Arial"/>
        </w:rPr>
        <w:t>Freeman, A.M. The Benefits of Environmenyal Improvement. Theory and Practice. Baltimore: John Hopkins Press, 1979;</w:t>
      </w:r>
    </w:p>
    <w:p w:rsidR="001D7A8D" w:rsidRDefault="001D7A8D" w:rsidP="00564C27">
      <w:pPr>
        <w:jc w:val="both"/>
        <w:rPr>
          <w:rFonts w:ascii="Arial" w:hAnsi="Arial" w:cs="Arial"/>
        </w:rPr>
      </w:pPr>
    </w:p>
    <w:p w:rsidR="001D7A8D" w:rsidRDefault="001D7A8D" w:rsidP="00564C27">
      <w:pPr>
        <w:jc w:val="both"/>
        <w:rPr>
          <w:rFonts w:ascii="Arial" w:hAnsi="Arial" w:cs="Arial"/>
        </w:rPr>
      </w:pPr>
      <w:r>
        <w:rPr>
          <w:rFonts w:ascii="Arial" w:hAnsi="Arial" w:cs="Arial"/>
        </w:rPr>
        <w:t xml:space="preserve">Frey, B.S. e Pommerehne, W.W. </w:t>
      </w:r>
      <w:r>
        <w:rPr>
          <w:rFonts w:ascii="Arial" w:hAnsi="Arial" w:cs="Arial"/>
          <w:i/>
        </w:rPr>
        <w:t>Art investment: An empirical enquiry</w:t>
      </w:r>
      <w:r>
        <w:rPr>
          <w:rFonts w:ascii="Arial" w:hAnsi="Arial" w:cs="Arial"/>
        </w:rPr>
        <w:t>. Southern Economic Journal. Vol. 56, No. 2, 1989, pp. 396-409;</w:t>
      </w:r>
    </w:p>
    <w:p w:rsidR="00B822DD" w:rsidRDefault="00B822DD" w:rsidP="00564C27">
      <w:pPr>
        <w:jc w:val="both"/>
        <w:rPr>
          <w:rFonts w:ascii="Arial" w:hAnsi="Arial" w:cs="Arial"/>
        </w:rPr>
      </w:pPr>
    </w:p>
    <w:p w:rsidR="00B822DD" w:rsidRPr="00B822DD" w:rsidRDefault="001A2506" w:rsidP="00564C27">
      <w:pPr>
        <w:jc w:val="both"/>
        <w:rPr>
          <w:rFonts w:ascii="Arial" w:hAnsi="Arial" w:cs="Arial"/>
        </w:rPr>
      </w:pPr>
      <w:r>
        <w:rPr>
          <w:rFonts w:ascii="Arial" w:hAnsi="Arial" w:cs="Arial"/>
        </w:rPr>
        <w:t>Frey</w:t>
      </w:r>
      <w:r w:rsidR="00B822DD">
        <w:rPr>
          <w:rFonts w:ascii="Arial" w:hAnsi="Arial" w:cs="Arial"/>
        </w:rPr>
        <w:t xml:space="preserve">, B.S. e Eichenberger, R. </w:t>
      </w:r>
      <w:r w:rsidR="00B822DD">
        <w:rPr>
          <w:rFonts w:ascii="Arial" w:hAnsi="Arial" w:cs="Arial"/>
          <w:i/>
        </w:rPr>
        <w:t>On the rate of return in the art Market</w:t>
      </w:r>
      <w:r w:rsidR="001214D0">
        <w:rPr>
          <w:rFonts w:ascii="Arial" w:hAnsi="Arial" w:cs="Arial"/>
          <w:i/>
        </w:rPr>
        <w:t>: Survey and evalu</w:t>
      </w:r>
      <w:r w:rsidR="00B822DD">
        <w:rPr>
          <w:rFonts w:ascii="Arial" w:hAnsi="Arial" w:cs="Arial"/>
          <w:i/>
        </w:rPr>
        <w:t>ation</w:t>
      </w:r>
      <w:r w:rsidR="00B822DD">
        <w:rPr>
          <w:rFonts w:ascii="Arial" w:hAnsi="Arial" w:cs="Arial"/>
        </w:rPr>
        <w:t>. European Economic Review, Vol. 39, 1995, pp. 528-537;</w:t>
      </w:r>
    </w:p>
    <w:p w:rsidR="00FD0AE7" w:rsidRDefault="00FD0AE7" w:rsidP="00564C27">
      <w:pPr>
        <w:jc w:val="both"/>
        <w:rPr>
          <w:rFonts w:ascii="Arial" w:hAnsi="Arial" w:cs="Arial"/>
        </w:rPr>
      </w:pPr>
    </w:p>
    <w:p w:rsidR="003214B2" w:rsidRDefault="003214B2" w:rsidP="00564C27">
      <w:pPr>
        <w:jc w:val="both"/>
        <w:rPr>
          <w:rFonts w:ascii="Arial" w:hAnsi="Arial" w:cs="Arial"/>
        </w:rPr>
      </w:pPr>
      <w:r>
        <w:rPr>
          <w:rFonts w:ascii="Arial" w:hAnsi="Arial" w:cs="Arial"/>
        </w:rPr>
        <w:t xml:space="preserve">Goetzmann, W. </w:t>
      </w:r>
      <w:r>
        <w:rPr>
          <w:rFonts w:ascii="Arial" w:hAnsi="Arial" w:cs="Arial"/>
          <w:i/>
        </w:rPr>
        <w:t>Accounting for taste: art and the financial markets over three centuries</w:t>
      </w:r>
      <w:r>
        <w:rPr>
          <w:rFonts w:ascii="Arial" w:hAnsi="Arial" w:cs="Arial"/>
        </w:rPr>
        <w:t>. American</w:t>
      </w:r>
      <w:r w:rsidR="00D7096E">
        <w:rPr>
          <w:rFonts w:ascii="Arial" w:hAnsi="Arial" w:cs="Arial"/>
        </w:rPr>
        <w:t xml:space="preserve"> Economic Review, Vol. 83, No. </w:t>
      </w:r>
      <w:r>
        <w:rPr>
          <w:rFonts w:ascii="Arial" w:hAnsi="Arial" w:cs="Arial"/>
        </w:rPr>
        <w:t>5, 1993, pp. 1.370-1.376;</w:t>
      </w:r>
    </w:p>
    <w:p w:rsidR="00C61C4E" w:rsidRDefault="00C61C4E" w:rsidP="00564C27">
      <w:pPr>
        <w:jc w:val="both"/>
        <w:rPr>
          <w:rFonts w:ascii="Arial" w:hAnsi="Arial" w:cs="Arial"/>
        </w:rPr>
      </w:pPr>
    </w:p>
    <w:p w:rsidR="00C61C4E" w:rsidRDefault="00C61C4E" w:rsidP="00564C27">
      <w:pPr>
        <w:jc w:val="both"/>
        <w:rPr>
          <w:rFonts w:ascii="Arial" w:hAnsi="Arial" w:cs="Arial"/>
        </w:rPr>
      </w:pPr>
      <w:r>
        <w:rPr>
          <w:rFonts w:ascii="Arial" w:hAnsi="Arial" w:cs="Arial"/>
        </w:rPr>
        <w:t xml:space="preserve">Goetzmann, W., Renneboog, L. e Spaenjers, C. </w:t>
      </w:r>
      <w:r>
        <w:rPr>
          <w:rFonts w:ascii="Arial" w:hAnsi="Arial" w:cs="Arial"/>
          <w:i/>
        </w:rPr>
        <w:t>Art and Money</w:t>
      </w:r>
      <w:r>
        <w:rPr>
          <w:rFonts w:ascii="Arial" w:hAnsi="Arial" w:cs="Arial"/>
        </w:rPr>
        <w:t>. American Economic Review. Vol. 101, No. 3, Papers and Proceedings of the One Hundred Twenty Third Anual Meeting of the American Economic Association, 2011, pp. 222-226;</w:t>
      </w:r>
    </w:p>
    <w:p w:rsidR="00F93F41" w:rsidRPr="00C61C4E" w:rsidRDefault="00F93F41" w:rsidP="00564C27">
      <w:pPr>
        <w:jc w:val="both"/>
        <w:rPr>
          <w:rFonts w:ascii="Arial" w:hAnsi="Arial" w:cs="Arial"/>
        </w:rPr>
      </w:pPr>
    </w:p>
    <w:p w:rsidR="00F36C5C" w:rsidRDefault="00F36C5C" w:rsidP="00F36C5C">
      <w:pPr>
        <w:jc w:val="both"/>
        <w:rPr>
          <w:rFonts w:ascii="Arial" w:hAnsi="Arial" w:cs="Arial"/>
        </w:rPr>
      </w:pPr>
      <w:r>
        <w:rPr>
          <w:rFonts w:ascii="Arial" w:hAnsi="Arial" w:cs="Arial"/>
        </w:rPr>
        <w:t>Gombrich, E.H. História da Arte. Rio de Janeiro: LTC, 2015;</w:t>
      </w:r>
    </w:p>
    <w:p w:rsidR="00F36C5C" w:rsidRDefault="00F36C5C" w:rsidP="00564C27">
      <w:pPr>
        <w:jc w:val="both"/>
        <w:rPr>
          <w:rFonts w:ascii="Arial" w:hAnsi="Arial" w:cs="Arial"/>
        </w:rPr>
      </w:pPr>
    </w:p>
    <w:p w:rsidR="00B31AB5" w:rsidRDefault="00337489" w:rsidP="00564C27">
      <w:pPr>
        <w:jc w:val="both"/>
        <w:rPr>
          <w:rFonts w:ascii="Arial" w:hAnsi="Arial" w:cs="Arial"/>
        </w:rPr>
      </w:pPr>
      <w:r w:rsidRPr="00337489">
        <w:rPr>
          <w:rFonts w:ascii="Arial" w:hAnsi="Arial" w:cs="Arial"/>
        </w:rPr>
        <w:t>Go</w:t>
      </w:r>
      <w:r w:rsidR="00A43D7C">
        <w:rPr>
          <w:rFonts w:ascii="Arial" w:hAnsi="Arial" w:cs="Arial"/>
        </w:rPr>
        <w:t>mpertz, W. Isso é A</w:t>
      </w:r>
      <w:r>
        <w:rPr>
          <w:rFonts w:ascii="Arial" w:hAnsi="Arial" w:cs="Arial"/>
        </w:rPr>
        <w:t xml:space="preserve">rte? 150 </w:t>
      </w:r>
      <w:r w:rsidR="00A43D7C">
        <w:rPr>
          <w:rFonts w:ascii="Arial" w:hAnsi="Arial" w:cs="Arial"/>
        </w:rPr>
        <w:t>A</w:t>
      </w:r>
      <w:r>
        <w:rPr>
          <w:rFonts w:ascii="Arial" w:hAnsi="Arial" w:cs="Arial"/>
        </w:rPr>
        <w:t xml:space="preserve">nos de </w:t>
      </w:r>
      <w:r w:rsidR="00A43D7C">
        <w:rPr>
          <w:rFonts w:ascii="Arial" w:hAnsi="Arial" w:cs="Arial"/>
        </w:rPr>
        <w:t>A</w:t>
      </w:r>
      <w:r>
        <w:rPr>
          <w:rFonts w:ascii="Arial" w:hAnsi="Arial" w:cs="Arial"/>
        </w:rPr>
        <w:t xml:space="preserve">rte </w:t>
      </w:r>
      <w:r w:rsidR="00A43D7C">
        <w:rPr>
          <w:rFonts w:ascii="Arial" w:hAnsi="Arial" w:cs="Arial"/>
        </w:rPr>
        <w:t>M</w:t>
      </w:r>
      <w:r>
        <w:rPr>
          <w:rFonts w:ascii="Arial" w:hAnsi="Arial" w:cs="Arial"/>
        </w:rPr>
        <w:t xml:space="preserve">oderna do </w:t>
      </w:r>
      <w:r w:rsidR="00A43D7C">
        <w:rPr>
          <w:rFonts w:ascii="Arial" w:hAnsi="Arial" w:cs="Arial"/>
        </w:rPr>
        <w:t>I</w:t>
      </w:r>
      <w:r>
        <w:rPr>
          <w:rFonts w:ascii="Arial" w:hAnsi="Arial" w:cs="Arial"/>
        </w:rPr>
        <w:t xml:space="preserve">mpressionismo até </w:t>
      </w:r>
      <w:r w:rsidR="00A43D7C">
        <w:rPr>
          <w:rFonts w:ascii="Arial" w:hAnsi="Arial" w:cs="Arial"/>
        </w:rPr>
        <w:t>H</w:t>
      </w:r>
      <w:r>
        <w:rPr>
          <w:rFonts w:ascii="Arial" w:hAnsi="Arial" w:cs="Arial"/>
        </w:rPr>
        <w:t>oje. Rio de Janeiro: Editora Zahar, 2013;</w:t>
      </w:r>
    </w:p>
    <w:p w:rsidR="00337489" w:rsidRDefault="00337489" w:rsidP="00564C27">
      <w:pPr>
        <w:jc w:val="both"/>
        <w:rPr>
          <w:rFonts w:ascii="Arial" w:hAnsi="Arial" w:cs="Arial"/>
        </w:rPr>
      </w:pPr>
    </w:p>
    <w:p w:rsidR="002F7ED9" w:rsidRPr="002F7ED9" w:rsidRDefault="002F7ED9" w:rsidP="00564C27">
      <w:pPr>
        <w:jc w:val="both"/>
        <w:rPr>
          <w:rFonts w:ascii="Arial" w:hAnsi="Arial" w:cs="Arial"/>
        </w:rPr>
      </w:pPr>
      <w:r>
        <w:rPr>
          <w:rFonts w:ascii="Arial" w:hAnsi="Arial" w:cs="Arial"/>
        </w:rPr>
        <w:t xml:space="preserve">Guerzoni, G. </w:t>
      </w:r>
      <w:r>
        <w:rPr>
          <w:rFonts w:ascii="Arial" w:hAnsi="Arial" w:cs="Arial"/>
          <w:i/>
        </w:rPr>
        <w:t>Reflections on histori</w:t>
      </w:r>
      <w:r w:rsidR="004A4118">
        <w:rPr>
          <w:rFonts w:ascii="Arial" w:hAnsi="Arial" w:cs="Arial"/>
          <w:i/>
        </w:rPr>
        <w:t>c</w:t>
      </w:r>
      <w:r>
        <w:rPr>
          <w:rFonts w:ascii="Arial" w:hAnsi="Arial" w:cs="Arial"/>
          <w:i/>
        </w:rPr>
        <w:t>al series of art prices: Reitlinger’s data revisited</w:t>
      </w:r>
      <w:r>
        <w:rPr>
          <w:rFonts w:ascii="Arial" w:hAnsi="Arial" w:cs="Arial"/>
        </w:rPr>
        <w:t>. Journal of Cultural Economics. Vol. 19, 1995, pp. 251-260;</w:t>
      </w:r>
    </w:p>
    <w:p w:rsidR="002E07FF" w:rsidRDefault="002E07FF" w:rsidP="00564C27">
      <w:pPr>
        <w:jc w:val="both"/>
        <w:rPr>
          <w:rFonts w:ascii="Arial" w:hAnsi="Arial" w:cs="Arial"/>
        </w:rPr>
      </w:pPr>
    </w:p>
    <w:p w:rsidR="002E07FF" w:rsidRDefault="002E07FF" w:rsidP="00564C27">
      <w:pPr>
        <w:jc w:val="both"/>
        <w:rPr>
          <w:rFonts w:ascii="Arial" w:hAnsi="Arial" w:cs="Arial"/>
        </w:rPr>
      </w:pPr>
      <w:r>
        <w:rPr>
          <w:rFonts w:ascii="Arial" w:hAnsi="Arial" w:cs="Arial"/>
        </w:rPr>
        <w:t>Gujarati, D.N. Econometria Básica. São Paulo: Makron Books, 2000;</w:t>
      </w:r>
    </w:p>
    <w:p w:rsidR="00F93F41" w:rsidRDefault="00F93F41" w:rsidP="00564C27">
      <w:pPr>
        <w:jc w:val="both"/>
        <w:rPr>
          <w:rFonts w:ascii="Arial" w:hAnsi="Arial" w:cs="Arial"/>
        </w:rPr>
      </w:pPr>
    </w:p>
    <w:p w:rsidR="00F93F41" w:rsidRPr="00F93F41" w:rsidRDefault="00F93F41" w:rsidP="00564C27">
      <w:pPr>
        <w:jc w:val="both"/>
        <w:rPr>
          <w:rFonts w:ascii="Arial" w:hAnsi="Arial" w:cs="Arial"/>
        </w:rPr>
      </w:pPr>
      <w:r>
        <w:rPr>
          <w:rFonts w:ascii="Arial" w:hAnsi="Arial" w:cs="Arial"/>
        </w:rPr>
        <w:t xml:space="preserve">Ferreira, S.F. e Resende Filho, M.A. </w:t>
      </w:r>
      <w:r>
        <w:rPr>
          <w:rFonts w:ascii="Arial" w:hAnsi="Arial" w:cs="Arial"/>
          <w:i/>
        </w:rPr>
        <w:t>Aplicação do método de preços hedônicos na precificação de atributos raros de peças filatélicas e construção de carteiras eficientes</w:t>
      </w:r>
      <w:r>
        <w:rPr>
          <w:rFonts w:ascii="Arial" w:hAnsi="Arial" w:cs="Arial"/>
        </w:rPr>
        <w:t>. Estudos Econômicos. Vol. 40, No. 2, 2010, pp. 469-498;</w:t>
      </w:r>
    </w:p>
    <w:p w:rsidR="009C7ADD" w:rsidRDefault="009C7ADD" w:rsidP="00564C27">
      <w:pPr>
        <w:jc w:val="both"/>
        <w:rPr>
          <w:rFonts w:ascii="Arial" w:hAnsi="Arial" w:cs="Arial"/>
        </w:rPr>
      </w:pPr>
    </w:p>
    <w:p w:rsidR="009C7ADD" w:rsidRPr="00993A9C" w:rsidRDefault="009C7ADD" w:rsidP="00564C27">
      <w:pPr>
        <w:jc w:val="both"/>
        <w:rPr>
          <w:rFonts w:ascii="Arial" w:hAnsi="Arial" w:cs="Arial"/>
        </w:rPr>
      </w:pPr>
      <w:r>
        <w:rPr>
          <w:rFonts w:ascii="Arial" w:hAnsi="Arial" w:cs="Arial"/>
        </w:rPr>
        <w:t xml:space="preserve">Higgs, H. e Worthington, A. </w:t>
      </w:r>
      <w:r w:rsidR="00993A9C">
        <w:rPr>
          <w:rFonts w:ascii="Arial" w:hAnsi="Arial" w:cs="Arial"/>
          <w:i/>
        </w:rPr>
        <w:t>Financial returns and price determinants in Australian art market</w:t>
      </w:r>
      <w:r w:rsidR="00993A9C">
        <w:rPr>
          <w:rFonts w:ascii="Arial" w:hAnsi="Arial" w:cs="Arial"/>
        </w:rPr>
        <w:t>. The Economic Record. Vol. 81, No. 253, 2005, pp. 1.370-1376;</w:t>
      </w:r>
    </w:p>
    <w:p w:rsidR="00FC0886" w:rsidRDefault="00FC0886" w:rsidP="00564C27">
      <w:pPr>
        <w:jc w:val="both"/>
        <w:rPr>
          <w:rFonts w:ascii="Arial" w:hAnsi="Arial" w:cs="Arial"/>
        </w:rPr>
      </w:pPr>
    </w:p>
    <w:p w:rsidR="00FC0886" w:rsidRDefault="00A43D7C" w:rsidP="00564C27">
      <w:pPr>
        <w:jc w:val="both"/>
        <w:rPr>
          <w:rFonts w:ascii="Arial" w:hAnsi="Arial" w:cs="Arial"/>
        </w:rPr>
      </w:pPr>
      <w:r>
        <w:rPr>
          <w:rFonts w:ascii="Arial" w:hAnsi="Arial" w:cs="Arial"/>
        </w:rPr>
        <w:t>Hodge, S. How to S</w:t>
      </w:r>
      <w:r w:rsidR="00FC0886">
        <w:rPr>
          <w:rFonts w:ascii="Arial" w:hAnsi="Arial" w:cs="Arial"/>
        </w:rPr>
        <w:t xml:space="preserve">urvive </w:t>
      </w:r>
      <w:r>
        <w:rPr>
          <w:rFonts w:ascii="Arial" w:hAnsi="Arial" w:cs="Arial"/>
        </w:rPr>
        <w:t>M</w:t>
      </w:r>
      <w:r w:rsidR="00FC0886">
        <w:rPr>
          <w:rFonts w:ascii="Arial" w:hAnsi="Arial" w:cs="Arial"/>
        </w:rPr>
        <w:t xml:space="preserve">odern </w:t>
      </w:r>
      <w:r>
        <w:rPr>
          <w:rFonts w:ascii="Arial" w:hAnsi="Arial" w:cs="Arial"/>
        </w:rPr>
        <w:t>A</w:t>
      </w:r>
      <w:r w:rsidR="00FC0886">
        <w:rPr>
          <w:rFonts w:ascii="Arial" w:hAnsi="Arial" w:cs="Arial"/>
        </w:rPr>
        <w:t>rt. Londres: Tate Publishing, 2009;</w:t>
      </w:r>
    </w:p>
    <w:p w:rsidR="00DD6A7F" w:rsidRDefault="00DD6A7F" w:rsidP="00564C27">
      <w:pPr>
        <w:jc w:val="both"/>
        <w:rPr>
          <w:rFonts w:ascii="Arial" w:hAnsi="Arial" w:cs="Arial"/>
        </w:rPr>
      </w:pPr>
    </w:p>
    <w:p w:rsidR="00DD6A7F" w:rsidRDefault="00DD6A7F" w:rsidP="00564C27">
      <w:pPr>
        <w:jc w:val="both"/>
        <w:rPr>
          <w:rFonts w:ascii="Arial" w:hAnsi="Arial" w:cs="Arial"/>
        </w:rPr>
      </w:pPr>
      <w:r>
        <w:rPr>
          <w:rFonts w:ascii="Arial" w:hAnsi="Arial" w:cs="Arial"/>
        </w:rPr>
        <w:t xml:space="preserve">Hodgson, D.J. e Vorkirk, K.P. </w:t>
      </w:r>
      <w:r>
        <w:rPr>
          <w:rFonts w:ascii="Arial" w:hAnsi="Arial" w:cs="Arial"/>
          <w:i/>
        </w:rPr>
        <w:t>Asset Pricing theory and the valuation of Canadian paintings</w:t>
      </w:r>
      <w:r>
        <w:rPr>
          <w:rFonts w:ascii="Arial" w:hAnsi="Arial" w:cs="Arial"/>
        </w:rPr>
        <w:t>. Canadian Journal of Economics. Vol. 37, No. 3, 2004, pp. 629-655;</w:t>
      </w:r>
    </w:p>
    <w:p w:rsidR="00013E82" w:rsidRDefault="00013E82" w:rsidP="00564C27">
      <w:pPr>
        <w:jc w:val="both"/>
        <w:rPr>
          <w:rFonts w:ascii="Arial" w:hAnsi="Arial" w:cs="Arial"/>
        </w:rPr>
      </w:pPr>
    </w:p>
    <w:p w:rsidR="00013E82" w:rsidRDefault="00013E82" w:rsidP="00564C27">
      <w:pPr>
        <w:jc w:val="both"/>
        <w:rPr>
          <w:rFonts w:ascii="Arial" w:hAnsi="Arial" w:cs="Arial"/>
        </w:rPr>
      </w:pPr>
      <w:r>
        <w:rPr>
          <w:rFonts w:ascii="Arial" w:hAnsi="Arial" w:cs="Arial"/>
        </w:rPr>
        <w:t xml:space="preserve">Holub, H.W., Hutter, M. e Tappeiner, G. </w:t>
      </w:r>
      <w:r>
        <w:rPr>
          <w:rFonts w:ascii="Arial" w:hAnsi="Arial" w:cs="Arial"/>
          <w:i/>
        </w:rPr>
        <w:t>Light and shadow in art price competition</w:t>
      </w:r>
      <w:r>
        <w:rPr>
          <w:rFonts w:ascii="Arial" w:hAnsi="Arial" w:cs="Arial"/>
        </w:rPr>
        <w:t>. Journal of Cultural Economics. Vol. 17,</w:t>
      </w:r>
      <w:r w:rsidR="006A55C3">
        <w:rPr>
          <w:rFonts w:ascii="Arial" w:hAnsi="Arial" w:cs="Arial"/>
        </w:rPr>
        <w:t xml:space="preserve"> No. 1,</w:t>
      </w:r>
      <w:r>
        <w:rPr>
          <w:rFonts w:ascii="Arial" w:hAnsi="Arial" w:cs="Arial"/>
        </w:rPr>
        <w:t xml:space="preserve"> 1993, pp. 49-63;</w:t>
      </w:r>
    </w:p>
    <w:p w:rsidR="002D5159" w:rsidRDefault="002D5159" w:rsidP="00564C27">
      <w:pPr>
        <w:jc w:val="both"/>
        <w:rPr>
          <w:rFonts w:ascii="Arial" w:hAnsi="Arial" w:cs="Arial"/>
        </w:rPr>
      </w:pPr>
    </w:p>
    <w:p w:rsidR="002D5159" w:rsidRPr="00013E82" w:rsidRDefault="002D5159" w:rsidP="00564C27">
      <w:pPr>
        <w:jc w:val="both"/>
        <w:rPr>
          <w:rFonts w:ascii="Arial" w:hAnsi="Arial" w:cs="Arial"/>
        </w:rPr>
      </w:pPr>
      <w:r>
        <w:rPr>
          <w:rFonts w:ascii="Arial" w:hAnsi="Arial" w:cs="Arial"/>
        </w:rPr>
        <w:t xml:space="preserve">Korteweg, A., Kräsul, R. e Verwijmeren, P. </w:t>
      </w:r>
      <w:r>
        <w:rPr>
          <w:rFonts w:ascii="Arial" w:hAnsi="Arial" w:cs="Arial"/>
          <w:i/>
        </w:rPr>
        <w:t>Does it pay to invest in art? A selection-corrected returns perspective</w:t>
      </w:r>
      <w:r>
        <w:rPr>
          <w:rFonts w:ascii="Arial" w:hAnsi="Arial" w:cs="Arial"/>
        </w:rPr>
        <w:t>. Review of Financial Studies. Vol. 29, No. 4, 2016, pp. 1.007-1.038;</w:t>
      </w:r>
    </w:p>
    <w:p w:rsidR="00BF68F7" w:rsidRDefault="00BF68F7" w:rsidP="00564C27">
      <w:pPr>
        <w:jc w:val="both"/>
        <w:rPr>
          <w:rFonts w:ascii="Arial" w:hAnsi="Arial" w:cs="Arial"/>
        </w:rPr>
      </w:pPr>
    </w:p>
    <w:p w:rsidR="00BF68F7" w:rsidRDefault="00BF68F7" w:rsidP="00564C27">
      <w:pPr>
        <w:jc w:val="both"/>
        <w:rPr>
          <w:rFonts w:ascii="Arial" w:hAnsi="Arial" w:cs="Arial"/>
        </w:rPr>
      </w:pPr>
      <w:r>
        <w:rPr>
          <w:rFonts w:ascii="Arial" w:hAnsi="Arial" w:cs="Arial"/>
        </w:rPr>
        <w:t xml:space="preserve">Kräsul, R. e Schellart, E. </w:t>
      </w:r>
      <w:r>
        <w:rPr>
          <w:rFonts w:ascii="Arial" w:hAnsi="Arial" w:cs="Arial"/>
          <w:i/>
        </w:rPr>
        <w:t>Hedonic pricing of art works. Evidence from German paintings</w:t>
      </w:r>
      <w:r>
        <w:rPr>
          <w:rFonts w:ascii="Arial" w:hAnsi="Arial" w:cs="Arial"/>
        </w:rPr>
        <w:t>. Working Paper, VU University Amsterdan, 2007;</w:t>
      </w:r>
    </w:p>
    <w:p w:rsidR="00CD49D8" w:rsidRDefault="00CD49D8" w:rsidP="00564C27">
      <w:pPr>
        <w:jc w:val="both"/>
        <w:rPr>
          <w:rFonts w:ascii="Arial" w:hAnsi="Arial" w:cs="Arial"/>
        </w:rPr>
      </w:pPr>
    </w:p>
    <w:p w:rsidR="00CD49D8" w:rsidRDefault="00CD49D8" w:rsidP="00564C27">
      <w:pPr>
        <w:jc w:val="both"/>
        <w:rPr>
          <w:rFonts w:ascii="Arial" w:hAnsi="Arial" w:cs="Arial"/>
        </w:rPr>
      </w:pPr>
      <w:r>
        <w:rPr>
          <w:rFonts w:ascii="Arial" w:hAnsi="Arial" w:cs="Arial"/>
        </w:rPr>
        <w:t xml:space="preserve">Lancaster, K. </w:t>
      </w:r>
      <w:r w:rsidRPr="00CD49D8">
        <w:rPr>
          <w:rFonts w:ascii="Arial" w:hAnsi="Arial" w:cs="Arial"/>
          <w:i/>
        </w:rPr>
        <w:t>A new approach to consumer’s theory</w:t>
      </w:r>
      <w:r>
        <w:rPr>
          <w:rFonts w:ascii="Arial" w:hAnsi="Arial" w:cs="Arial"/>
        </w:rPr>
        <w:t>. Journal of Political Econony. Vol. 74, No. 2, 1966, pp. 132-157;</w:t>
      </w:r>
    </w:p>
    <w:p w:rsidR="00F93F41" w:rsidRDefault="00F93F41" w:rsidP="00564C27">
      <w:pPr>
        <w:jc w:val="both"/>
        <w:rPr>
          <w:rFonts w:ascii="Arial" w:hAnsi="Arial" w:cs="Arial"/>
        </w:rPr>
      </w:pPr>
    </w:p>
    <w:p w:rsidR="00F93F41" w:rsidRDefault="00F93F41" w:rsidP="00F93F41">
      <w:pPr>
        <w:jc w:val="both"/>
        <w:rPr>
          <w:rFonts w:ascii="Arial" w:hAnsi="Arial" w:cs="Arial"/>
        </w:rPr>
      </w:pPr>
      <w:r>
        <w:rPr>
          <w:rFonts w:ascii="Arial" w:hAnsi="Arial" w:cs="Arial"/>
        </w:rPr>
        <w:t xml:space="preserve">Lazzaro, E. </w:t>
      </w:r>
      <w:r w:rsidRPr="00F93F41">
        <w:rPr>
          <w:rFonts w:ascii="Arial" w:hAnsi="Arial" w:cs="Arial"/>
          <w:i/>
        </w:rPr>
        <w:t xml:space="preserve">Assessing </w:t>
      </w:r>
      <w:r>
        <w:rPr>
          <w:rFonts w:ascii="Arial" w:hAnsi="Arial" w:cs="Arial"/>
          <w:i/>
        </w:rPr>
        <w:t>q</w:t>
      </w:r>
      <w:r w:rsidRPr="00F93F41">
        <w:rPr>
          <w:rFonts w:ascii="Arial" w:hAnsi="Arial" w:cs="Arial"/>
          <w:i/>
        </w:rPr>
        <w:t xml:space="preserve">uality in </w:t>
      </w:r>
      <w:r>
        <w:rPr>
          <w:rFonts w:ascii="Arial" w:hAnsi="Arial" w:cs="Arial"/>
          <w:i/>
        </w:rPr>
        <w:t>c</w:t>
      </w:r>
      <w:r w:rsidRPr="00F93F41">
        <w:rPr>
          <w:rFonts w:ascii="Arial" w:hAnsi="Arial" w:cs="Arial"/>
          <w:i/>
        </w:rPr>
        <w:t xml:space="preserve">ultural </w:t>
      </w:r>
      <w:r>
        <w:rPr>
          <w:rFonts w:ascii="Arial" w:hAnsi="Arial" w:cs="Arial"/>
          <w:i/>
        </w:rPr>
        <w:t>g</w:t>
      </w:r>
      <w:r w:rsidRPr="00F93F41">
        <w:rPr>
          <w:rFonts w:ascii="Arial" w:hAnsi="Arial" w:cs="Arial"/>
          <w:i/>
        </w:rPr>
        <w:t>oods: The</w:t>
      </w:r>
      <w:r>
        <w:rPr>
          <w:rFonts w:ascii="Arial" w:hAnsi="Arial" w:cs="Arial"/>
          <w:i/>
        </w:rPr>
        <w:t xml:space="preserve"> h</w:t>
      </w:r>
      <w:r w:rsidRPr="00F93F41">
        <w:rPr>
          <w:rFonts w:ascii="Arial" w:hAnsi="Arial" w:cs="Arial"/>
          <w:i/>
        </w:rPr>
        <w:t xml:space="preserve">edonic </w:t>
      </w:r>
      <w:r>
        <w:rPr>
          <w:rFonts w:ascii="Arial" w:hAnsi="Arial" w:cs="Arial"/>
          <w:i/>
        </w:rPr>
        <w:t>v</w:t>
      </w:r>
      <w:r w:rsidRPr="00F93F41">
        <w:rPr>
          <w:rFonts w:ascii="Arial" w:hAnsi="Arial" w:cs="Arial"/>
          <w:i/>
        </w:rPr>
        <w:t xml:space="preserve">alue of </w:t>
      </w:r>
      <w:r>
        <w:rPr>
          <w:rFonts w:ascii="Arial" w:hAnsi="Arial" w:cs="Arial"/>
          <w:i/>
        </w:rPr>
        <w:t>o</w:t>
      </w:r>
      <w:r w:rsidRPr="00F93F41">
        <w:rPr>
          <w:rFonts w:ascii="Arial" w:hAnsi="Arial" w:cs="Arial"/>
          <w:i/>
        </w:rPr>
        <w:t>riginality in Rembrandt’s</w:t>
      </w:r>
      <w:r>
        <w:rPr>
          <w:rFonts w:ascii="Arial" w:hAnsi="Arial" w:cs="Arial"/>
          <w:i/>
        </w:rPr>
        <w:t xml:space="preserve"> p</w:t>
      </w:r>
      <w:r w:rsidRPr="00F93F41">
        <w:rPr>
          <w:rFonts w:ascii="Arial" w:hAnsi="Arial" w:cs="Arial"/>
          <w:i/>
        </w:rPr>
        <w:t>rints</w:t>
      </w:r>
      <w:r>
        <w:rPr>
          <w:rFonts w:ascii="Arial" w:hAnsi="Arial" w:cs="Arial"/>
        </w:rPr>
        <w:t>. Journal of Cultural Economics. Vol. 30, No. 1, 2006, pp. 15-40;</w:t>
      </w:r>
    </w:p>
    <w:p w:rsidR="00DA7B1C" w:rsidRDefault="00DA7B1C" w:rsidP="00F93F41">
      <w:pPr>
        <w:jc w:val="both"/>
        <w:rPr>
          <w:rFonts w:ascii="Arial" w:hAnsi="Arial" w:cs="Arial"/>
        </w:rPr>
      </w:pPr>
    </w:p>
    <w:p w:rsidR="00DA7B1C" w:rsidRDefault="00DA7B1C" w:rsidP="00F93F41">
      <w:pPr>
        <w:jc w:val="both"/>
        <w:rPr>
          <w:rFonts w:ascii="Arial" w:hAnsi="Arial" w:cs="Arial"/>
        </w:rPr>
      </w:pPr>
      <w:r>
        <w:rPr>
          <w:rFonts w:ascii="Arial" w:hAnsi="Arial" w:cs="Arial"/>
        </w:rPr>
        <w:t xml:space="preserve">Locatelli-Biey, M. e Zanola, R. </w:t>
      </w:r>
      <w:r>
        <w:rPr>
          <w:rFonts w:ascii="Arial" w:hAnsi="Arial" w:cs="Arial"/>
          <w:i/>
        </w:rPr>
        <w:t>The Market</w:t>
      </w:r>
      <w:r w:rsidR="00E246AD">
        <w:rPr>
          <w:rFonts w:ascii="Arial" w:hAnsi="Arial" w:cs="Arial"/>
          <w:i/>
        </w:rPr>
        <w:t xml:space="preserve"> for sculptures: An</w:t>
      </w:r>
      <w:r>
        <w:rPr>
          <w:rFonts w:ascii="Arial" w:hAnsi="Arial" w:cs="Arial"/>
          <w:i/>
        </w:rPr>
        <w:t xml:space="preserve"> </w:t>
      </w:r>
      <w:r w:rsidR="00E246AD">
        <w:rPr>
          <w:rFonts w:ascii="Arial" w:hAnsi="Arial" w:cs="Arial"/>
          <w:i/>
        </w:rPr>
        <w:t>adjacente year regression index</w:t>
      </w:r>
      <w:r w:rsidR="00E246AD">
        <w:rPr>
          <w:rFonts w:ascii="Arial" w:hAnsi="Arial" w:cs="Arial"/>
        </w:rPr>
        <w:t>. Journal of Cultural Economics. Vol. 26, No. 1, 2002, pp. 65-78;</w:t>
      </w:r>
    </w:p>
    <w:p w:rsidR="00755B1E" w:rsidRDefault="00755B1E" w:rsidP="00F93F41">
      <w:pPr>
        <w:jc w:val="both"/>
        <w:rPr>
          <w:rFonts w:ascii="Arial" w:hAnsi="Arial" w:cs="Arial"/>
        </w:rPr>
      </w:pPr>
    </w:p>
    <w:p w:rsidR="00755B1E" w:rsidRPr="00755B1E" w:rsidRDefault="00755B1E" w:rsidP="00F93F41">
      <w:pPr>
        <w:jc w:val="both"/>
        <w:rPr>
          <w:rFonts w:ascii="Arial" w:hAnsi="Arial" w:cs="Arial"/>
        </w:rPr>
      </w:pPr>
      <w:r>
        <w:rPr>
          <w:rFonts w:ascii="Arial" w:hAnsi="Arial" w:cs="Arial"/>
        </w:rPr>
        <w:t xml:space="preserve">Mandel, B. </w:t>
      </w:r>
      <w:r>
        <w:rPr>
          <w:rFonts w:ascii="Arial" w:hAnsi="Arial" w:cs="Arial"/>
          <w:i/>
        </w:rPr>
        <w:t>Art as an investment and conspicuous consumption good</w:t>
      </w:r>
      <w:r>
        <w:rPr>
          <w:rFonts w:ascii="Arial" w:hAnsi="Arial" w:cs="Arial"/>
        </w:rPr>
        <w:t>. American Economic Review. Vol. 99, No. 4, 2009, pp. 1.653-1.663;</w:t>
      </w:r>
    </w:p>
    <w:p w:rsidR="007D1F1E" w:rsidRDefault="007D1F1E" w:rsidP="00F93F41">
      <w:pPr>
        <w:jc w:val="both"/>
        <w:rPr>
          <w:rFonts w:ascii="Arial" w:hAnsi="Arial" w:cs="Arial"/>
        </w:rPr>
      </w:pPr>
    </w:p>
    <w:p w:rsidR="007D1F1E" w:rsidRPr="007D1F1E" w:rsidRDefault="007D1F1E" w:rsidP="00F93F41">
      <w:pPr>
        <w:jc w:val="both"/>
        <w:rPr>
          <w:rFonts w:ascii="Arial" w:hAnsi="Arial" w:cs="Arial"/>
        </w:rPr>
      </w:pPr>
      <w:r>
        <w:rPr>
          <w:rFonts w:ascii="Arial" w:hAnsi="Arial" w:cs="Arial"/>
        </w:rPr>
        <w:t xml:space="preserve">Markowitz, H.M. </w:t>
      </w:r>
      <w:r>
        <w:rPr>
          <w:rFonts w:ascii="Arial" w:hAnsi="Arial" w:cs="Arial"/>
          <w:i/>
        </w:rPr>
        <w:t>Portfolio selection</w:t>
      </w:r>
      <w:r>
        <w:rPr>
          <w:rFonts w:ascii="Arial" w:hAnsi="Arial" w:cs="Arial"/>
        </w:rPr>
        <w:t>. The Journal of Finance. Vol. 7, No. 1, 1952;</w:t>
      </w:r>
    </w:p>
    <w:p w:rsidR="00C870FB" w:rsidRDefault="00C870FB" w:rsidP="00564C27">
      <w:pPr>
        <w:jc w:val="both"/>
        <w:rPr>
          <w:rFonts w:ascii="Arial" w:hAnsi="Arial" w:cs="Arial"/>
        </w:rPr>
      </w:pPr>
    </w:p>
    <w:p w:rsidR="00C870FB" w:rsidRPr="00C870FB" w:rsidRDefault="00C870FB" w:rsidP="00564C27">
      <w:pPr>
        <w:jc w:val="both"/>
        <w:rPr>
          <w:rFonts w:ascii="Arial" w:hAnsi="Arial" w:cs="Arial"/>
        </w:rPr>
      </w:pPr>
      <w:r>
        <w:rPr>
          <w:rFonts w:ascii="Arial" w:hAnsi="Arial" w:cs="Arial"/>
        </w:rPr>
        <w:t xml:space="preserve">Mei, J. e Moses, M. </w:t>
      </w:r>
      <w:r>
        <w:rPr>
          <w:rFonts w:ascii="Arial" w:hAnsi="Arial" w:cs="Arial"/>
          <w:i/>
        </w:rPr>
        <w:t>Art as an investment and the underperformance of masterpieces</w:t>
      </w:r>
      <w:r>
        <w:rPr>
          <w:rFonts w:ascii="Arial" w:hAnsi="Arial" w:cs="Arial"/>
        </w:rPr>
        <w:t>. American Economic Review. Vol. 92, No. 2, 2002, pp. 1.656-1.668;</w:t>
      </w:r>
    </w:p>
    <w:p w:rsidR="00B31AB5" w:rsidRDefault="00B31AB5" w:rsidP="00564C27">
      <w:pPr>
        <w:jc w:val="both"/>
        <w:rPr>
          <w:rFonts w:ascii="Arial" w:hAnsi="Arial" w:cs="Arial"/>
          <w:b/>
        </w:rPr>
      </w:pPr>
    </w:p>
    <w:p w:rsidR="00B31AB5" w:rsidRDefault="00B31AB5" w:rsidP="00564C27">
      <w:pPr>
        <w:jc w:val="both"/>
        <w:rPr>
          <w:rFonts w:ascii="Arial" w:hAnsi="Arial" w:cs="Arial"/>
        </w:rPr>
      </w:pPr>
      <w:r w:rsidRPr="00B31AB5">
        <w:rPr>
          <w:rFonts w:ascii="Arial" w:hAnsi="Arial" w:cs="Arial"/>
        </w:rPr>
        <w:t>Melnik,</w:t>
      </w:r>
      <w:r>
        <w:rPr>
          <w:rFonts w:ascii="Arial" w:hAnsi="Arial" w:cs="Arial"/>
        </w:rPr>
        <w:t xml:space="preserve"> A.L. e Plaut, S.E. 2008. </w:t>
      </w:r>
      <w:r>
        <w:rPr>
          <w:rFonts w:ascii="Arial" w:hAnsi="Arial" w:cs="Arial"/>
          <w:i/>
        </w:rPr>
        <w:t>Art as a component in investment portfolio</w:t>
      </w:r>
      <w:r>
        <w:rPr>
          <w:rFonts w:ascii="Arial" w:hAnsi="Arial" w:cs="Arial"/>
        </w:rPr>
        <w:t xml:space="preserve">. Journal of European Financial Management Association, 2008. Disponível em </w:t>
      </w:r>
      <w:hyperlink r:id="rId16" w:history="1">
        <w:r w:rsidRPr="0012390C">
          <w:rPr>
            <w:rStyle w:val="Hyperlink"/>
            <w:rFonts w:ascii="Arial" w:hAnsi="Arial" w:cs="Arial"/>
          </w:rPr>
          <w:t>http://www.efmaefm.org/0EFMAMEETINGS/EFMA%20ANNUAL%20MEETINGS/2009-milan/EFMA2009_0422_fullpaper.pdf</w:t>
        </w:r>
      </w:hyperlink>
      <w:r>
        <w:rPr>
          <w:rFonts w:ascii="Arial" w:hAnsi="Arial" w:cs="Arial"/>
        </w:rPr>
        <w:t>. Acesso em 29 de abril de 2019</w:t>
      </w:r>
      <w:r w:rsidR="003E6D58">
        <w:rPr>
          <w:rFonts w:ascii="Arial" w:hAnsi="Arial" w:cs="Arial"/>
        </w:rPr>
        <w:t>;</w:t>
      </w:r>
    </w:p>
    <w:p w:rsidR="008E4606" w:rsidRDefault="008E4606" w:rsidP="00564C27">
      <w:pPr>
        <w:jc w:val="both"/>
        <w:rPr>
          <w:rFonts w:ascii="Arial" w:hAnsi="Arial" w:cs="Arial"/>
        </w:rPr>
      </w:pPr>
    </w:p>
    <w:p w:rsidR="008E4606" w:rsidRPr="008E4606" w:rsidRDefault="008E4606" w:rsidP="00564C27">
      <w:pPr>
        <w:jc w:val="both"/>
        <w:rPr>
          <w:rFonts w:ascii="Arial" w:hAnsi="Arial" w:cs="Arial"/>
        </w:rPr>
      </w:pPr>
      <w:r>
        <w:rPr>
          <w:rFonts w:ascii="Arial" w:hAnsi="Arial" w:cs="Arial"/>
        </w:rPr>
        <w:t xml:space="preserve">Pompe, J. </w:t>
      </w:r>
      <w:r>
        <w:rPr>
          <w:rFonts w:ascii="Arial" w:hAnsi="Arial" w:cs="Arial"/>
          <w:i/>
        </w:rPr>
        <w:t>An investment flash: The rate of return for photographs</w:t>
      </w:r>
      <w:r>
        <w:rPr>
          <w:rFonts w:ascii="Arial" w:hAnsi="Arial" w:cs="Arial"/>
        </w:rPr>
        <w:t xml:space="preserve">. Southern </w:t>
      </w:r>
      <w:r w:rsidR="00D7096E">
        <w:rPr>
          <w:rFonts w:ascii="Arial" w:hAnsi="Arial" w:cs="Arial"/>
        </w:rPr>
        <w:t xml:space="preserve">Economic Journal. Vol. 63, No. </w:t>
      </w:r>
      <w:r>
        <w:rPr>
          <w:rFonts w:ascii="Arial" w:hAnsi="Arial" w:cs="Arial"/>
        </w:rPr>
        <w:t>2, 1996, pp. 488-495;</w:t>
      </w:r>
    </w:p>
    <w:p w:rsidR="00B31AB5" w:rsidRDefault="00B31AB5" w:rsidP="00564C27">
      <w:pPr>
        <w:jc w:val="both"/>
        <w:rPr>
          <w:rFonts w:ascii="Arial" w:hAnsi="Arial" w:cs="Arial"/>
        </w:rPr>
      </w:pPr>
    </w:p>
    <w:p w:rsidR="007A0CAE" w:rsidRDefault="007A0CAE" w:rsidP="00564C27">
      <w:pPr>
        <w:jc w:val="both"/>
        <w:rPr>
          <w:rFonts w:ascii="Arial" w:hAnsi="Arial" w:cs="Arial"/>
        </w:rPr>
      </w:pPr>
      <w:r>
        <w:rPr>
          <w:rFonts w:ascii="Arial" w:hAnsi="Arial" w:cs="Arial"/>
        </w:rPr>
        <w:t xml:space="preserve">Reitlinger, G. Economics of </w:t>
      </w:r>
      <w:r w:rsidR="00DD6A7F">
        <w:rPr>
          <w:rFonts w:ascii="Arial" w:hAnsi="Arial" w:cs="Arial"/>
        </w:rPr>
        <w:t>T</w:t>
      </w:r>
      <w:r>
        <w:rPr>
          <w:rFonts w:ascii="Arial" w:hAnsi="Arial" w:cs="Arial"/>
        </w:rPr>
        <w:t xml:space="preserve">aste: </w:t>
      </w:r>
      <w:r w:rsidR="00DD6A7F">
        <w:rPr>
          <w:rFonts w:ascii="Arial" w:hAnsi="Arial" w:cs="Arial"/>
        </w:rPr>
        <w:t>T</w:t>
      </w:r>
      <w:r>
        <w:rPr>
          <w:rFonts w:ascii="Arial" w:hAnsi="Arial" w:cs="Arial"/>
        </w:rPr>
        <w:t xml:space="preserve">he </w:t>
      </w:r>
      <w:r w:rsidR="00DD6A7F">
        <w:rPr>
          <w:rFonts w:ascii="Arial" w:hAnsi="Arial" w:cs="Arial"/>
        </w:rPr>
        <w:t>R</w:t>
      </w:r>
      <w:r>
        <w:rPr>
          <w:rFonts w:ascii="Arial" w:hAnsi="Arial" w:cs="Arial"/>
        </w:rPr>
        <w:t xml:space="preserve">ise and </w:t>
      </w:r>
      <w:r w:rsidR="00DD6A7F">
        <w:rPr>
          <w:rFonts w:ascii="Arial" w:hAnsi="Arial" w:cs="Arial"/>
        </w:rPr>
        <w:t>F</w:t>
      </w:r>
      <w:r>
        <w:rPr>
          <w:rFonts w:ascii="Arial" w:hAnsi="Arial" w:cs="Arial"/>
        </w:rPr>
        <w:t xml:space="preserve">all of Picture </w:t>
      </w:r>
      <w:r w:rsidR="00DD6A7F">
        <w:rPr>
          <w:rFonts w:ascii="Arial" w:hAnsi="Arial" w:cs="Arial"/>
        </w:rPr>
        <w:t>P</w:t>
      </w:r>
      <w:r>
        <w:rPr>
          <w:rFonts w:ascii="Arial" w:hAnsi="Arial" w:cs="Arial"/>
        </w:rPr>
        <w:t>rices 1760 – 1960. Londres: Barrie and Rockliff, 1961;</w:t>
      </w:r>
    </w:p>
    <w:p w:rsidR="00DC623C" w:rsidRDefault="00DC623C" w:rsidP="00564C27">
      <w:pPr>
        <w:jc w:val="both"/>
        <w:rPr>
          <w:rFonts w:ascii="Arial" w:hAnsi="Arial" w:cs="Arial"/>
        </w:rPr>
      </w:pPr>
    </w:p>
    <w:p w:rsidR="00DC623C" w:rsidRPr="00DC623C" w:rsidRDefault="00DC623C" w:rsidP="00564C27">
      <w:pPr>
        <w:jc w:val="both"/>
        <w:rPr>
          <w:rFonts w:ascii="Arial" w:hAnsi="Arial" w:cs="Arial"/>
        </w:rPr>
      </w:pPr>
      <w:r>
        <w:rPr>
          <w:rFonts w:ascii="Arial" w:hAnsi="Arial" w:cs="Arial"/>
        </w:rPr>
        <w:t xml:space="preserve">Reneboog, L. e Spaenjers, C. </w:t>
      </w:r>
      <w:r>
        <w:rPr>
          <w:rFonts w:ascii="Arial" w:hAnsi="Arial" w:cs="Arial"/>
          <w:i/>
        </w:rPr>
        <w:t>Buying beauty. On prices and returns in the Art Market</w:t>
      </w:r>
      <w:r>
        <w:rPr>
          <w:rFonts w:ascii="Arial" w:hAnsi="Arial" w:cs="Arial"/>
        </w:rPr>
        <w:t>.</w:t>
      </w:r>
      <w:r w:rsidR="009F5B47">
        <w:rPr>
          <w:rFonts w:ascii="Arial" w:hAnsi="Arial" w:cs="Arial"/>
        </w:rPr>
        <w:t xml:space="preserve"> Management Science. Vol. 59, No. 1, 2013, pp. 36-53;</w:t>
      </w:r>
    </w:p>
    <w:p w:rsidR="007A0CAE" w:rsidRDefault="007A0CAE" w:rsidP="00564C27">
      <w:pPr>
        <w:jc w:val="both"/>
        <w:rPr>
          <w:rFonts w:ascii="Arial" w:hAnsi="Arial" w:cs="Arial"/>
        </w:rPr>
      </w:pPr>
    </w:p>
    <w:p w:rsidR="00475F2D" w:rsidRDefault="00475F2D" w:rsidP="00564C27">
      <w:pPr>
        <w:jc w:val="both"/>
        <w:rPr>
          <w:rFonts w:ascii="Arial" w:hAnsi="Arial" w:cs="Arial"/>
        </w:rPr>
      </w:pPr>
      <w:r>
        <w:rPr>
          <w:rFonts w:ascii="Arial" w:hAnsi="Arial" w:cs="Arial"/>
        </w:rPr>
        <w:t xml:space="preserve">Rosen, S. </w:t>
      </w:r>
      <w:r>
        <w:rPr>
          <w:rFonts w:ascii="Arial" w:hAnsi="Arial" w:cs="Arial"/>
          <w:i/>
        </w:rPr>
        <w:t>Hedonic prices and implicit markets: Product diferenciation in pure competition</w:t>
      </w:r>
      <w:r>
        <w:rPr>
          <w:rFonts w:ascii="Arial" w:hAnsi="Arial" w:cs="Arial"/>
        </w:rPr>
        <w:t>. The Journal of Political Economy. Vol. 82, No. 1, 1974, pp. 34-55;</w:t>
      </w:r>
    </w:p>
    <w:p w:rsidR="00C4570A" w:rsidRPr="00C4570A" w:rsidRDefault="00C4570A" w:rsidP="00564C27">
      <w:pPr>
        <w:jc w:val="both"/>
        <w:rPr>
          <w:rFonts w:ascii="Arial" w:hAnsi="Arial" w:cs="Arial"/>
        </w:rPr>
      </w:pPr>
      <w:r>
        <w:rPr>
          <w:rFonts w:ascii="Arial" w:hAnsi="Arial" w:cs="Arial"/>
        </w:rPr>
        <w:br/>
        <w:t xml:space="preserve">Sheppard, S. </w:t>
      </w:r>
      <w:r w:rsidRPr="00C4570A">
        <w:rPr>
          <w:rFonts w:ascii="Arial" w:hAnsi="Arial" w:cs="Arial"/>
          <w:i/>
        </w:rPr>
        <w:t xml:space="preserve">Hedonic analysis </w:t>
      </w:r>
      <w:r w:rsidR="003B1850">
        <w:rPr>
          <w:rFonts w:ascii="Arial" w:hAnsi="Arial" w:cs="Arial"/>
          <w:i/>
        </w:rPr>
        <w:t>of</w:t>
      </w:r>
      <w:r w:rsidRPr="00C4570A">
        <w:rPr>
          <w:rFonts w:ascii="Arial" w:hAnsi="Arial" w:cs="Arial"/>
          <w:i/>
        </w:rPr>
        <w:t xml:space="preserve"> housing markets</w:t>
      </w:r>
      <w:r>
        <w:rPr>
          <w:rFonts w:ascii="Arial" w:hAnsi="Arial" w:cs="Arial"/>
        </w:rPr>
        <w:t xml:space="preserve"> in Cheshire, P. e Mills, E.S. Handbook of Regional and Urban Economics. Amsterdam: North-Holland, 1999;</w:t>
      </w:r>
    </w:p>
    <w:p w:rsidR="00475F2D" w:rsidRDefault="00475F2D" w:rsidP="00564C27">
      <w:pPr>
        <w:jc w:val="both"/>
        <w:rPr>
          <w:rFonts w:ascii="Arial" w:hAnsi="Arial" w:cs="Arial"/>
        </w:rPr>
      </w:pPr>
    </w:p>
    <w:p w:rsidR="00B31AB5" w:rsidRDefault="00B31AB5" w:rsidP="00564C27">
      <w:pPr>
        <w:jc w:val="both"/>
        <w:rPr>
          <w:rFonts w:ascii="Arial" w:hAnsi="Arial" w:cs="Arial"/>
        </w:rPr>
      </w:pPr>
      <w:r>
        <w:rPr>
          <w:rFonts w:ascii="Arial" w:hAnsi="Arial" w:cs="Arial"/>
        </w:rPr>
        <w:t xml:space="preserve">Sutton, B. </w:t>
      </w:r>
      <w:r w:rsidRPr="00B31AB5">
        <w:rPr>
          <w:rFonts w:ascii="Arial" w:hAnsi="Arial" w:cs="Arial"/>
          <w:i/>
        </w:rPr>
        <w:t>The Global Art Market Reached $67.4 Billion in 2018, up 6%</w:t>
      </w:r>
      <w:r>
        <w:rPr>
          <w:rFonts w:ascii="Arial" w:hAnsi="Arial" w:cs="Arial"/>
        </w:rPr>
        <w:t>.</w:t>
      </w:r>
      <w:r w:rsidR="00337489">
        <w:rPr>
          <w:rFonts w:ascii="Arial" w:hAnsi="Arial" w:cs="Arial"/>
        </w:rPr>
        <w:t xml:space="preserve"> 08/03/2019.</w:t>
      </w:r>
      <w:r>
        <w:rPr>
          <w:rFonts w:ascii="Arial" w:hAnsi="Arial" w:cs="Arial"/>
        </w:rPr>
        <w:t xml:space="preserve"> Disponível em </w:t>
      </w:r>
      <w:hyperlink r:id="rId17" w:history="1">
        <w:r w:rsidR="003E6D58" w:rsidRPr="0012390C">
          <w:rPr>
            <w:rStyle w:val="Hyperlink"/>
            <w:rFonts w:ascii="Arial" w:hAnsi="Arial" w:cs="Arial"/>
          </w:rPr>
          <w:t>https://www.artsy.net/article/artsy-editorial-global-art-market-reached-674-billion-2018-6</w:t>
        </w:r>
      </w:hyperlink>
      <w:r w:rsidR="003E6D58">
        <w:rPr>
          <w:rFonts w:ascii="Arial" w:hAnsi="Arial" w:cs="Arial"/>
        </w:rPr>
        <w:t>. Acesso em 28 de maio de 2019;</w:t>
      </w:r>
    </w:p>
    <w:p w:rsidR="00A43D7C" w:rsidRDefault="00A43D7C" w:rsidP="00564C27">
      <w:pPr>
        <w:jc w:val="both"/>
        <w:rPr>
          <w:rFonts w:ascii="Arial" w:hAnsi="Arial" w:cs="Arial"/>
        </w:rPr>
      </w:pPr>
    </w:p>
    <w:p w:rsidR="00A43D7C" w:rsidRPr="00B31AB5" w:rsidRDefault="00A43D7C" w:rsidP="00564C27">
      <w:pPr>
        <w:jc w:val="both"/>
        <w:rPr>
          <w:rFonts w:ascii="Arial" w:hAnsi="Arial" w:cs="Arial"/>
        </w:rPr>
      </w:pPr>
      <w:r>
        <w:rPr>
          <w:rFonts w:ascii="Arial" w:hAnsi="Arial" w:cs="Arial"/>
        </w:rPr>
        <w:t>Zorloni, A. The Economics of Contemporary Art. Markets, Strategies and Stardom.</w:t>
      </w:r>
      <w:r w:rsidR="00895648">
        <w:rPr>
          <w:rFonts w:ascii="Arial" w:hAnsi="Arial" w:cs="Arial"/>
        </w:rPr>
        <w:t xml:space="preserve"> Berlin: Spreinger-Verlag, 2013.</w:t>
      </w:r>
    </w:p>
    <w:sectPr w:rsidR="00A43D7C" w:rsidRPr="00B31AB5" w:rsidSect="00552621">
      <w:footerReference w:type="default" r:id="rId18"/>
      <w:type w:val="continuous"/>
      <w:pgSz w:w="11907" w:h="16840" w:code="9"/>
      <w:pgMar w:top="1985" w:right="1418" w:bottom="1418" w:left="1418" w:header="680"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3D9" w:rsidRDefault="002C43D9">
      <w:r>
        <w:separator/>
      </w:r>
    </w:p>
  </w:endnote>
  <w:endnote w:type="continuationSeparator" w:id="0">
    <w:p w:rsidR="002C43D9" w:rsidRDefault="002C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87" w:rsidRPr="003E7B3A" w:rsidRDefault="00110287" w:rsidP="003E7B3A">
    <w:pPr>
      <w:pStyle w:val="Rodap"/>
      <w:jc w:val="right"/>
      <w:rPr>
        <w:sz w:val="20"/>
        <w:szCs w:val="20"/>
      </w:rPr>
    </w:pPr>
    <w:r w:rsidRPr="003E7B3A">
      <w:rPr>
        <w:rStyle w:val="Nmerodepgina"/>
        <w:sz w:val="20"/>
        <w:szCs w:val="20"/>
      </w:rPr>
      <w:fldChar w:fldCharType="begin"/>
    </w:r>
    <w:r w:rsidRPr="003E7B3A">
      <w:rPr>
        <w:rStyle w:val="Nmerodepgina"/>
        <w:sz w:val="20"/>
        <w:szCs w:val="20"/>
      </w:rPr>
      <w:instrText xml:space="preserve"> PAGE </w:instrText>
    </w:r>
    <w:r w:rsidRPr="003E7B3A">
      <w:rPr>
        <w:rStyle w:val="Nmerodepgina"/>
        <w:sz w:val="20"/>
        <w:szCs w:val="20"/>
      </w:rPr>
      <w:fldChar w:fldCharType="separate"/>
    </w:r>
    <w:r w:rsidR="00897DD9">
      <w:rPr>
        <w:rStyle w:val="Nmerodepgina"/>
        <w:noProof/>
        <w:sz w:val="20"/>
        <w:szCs w:val="20"/>
      </w:rPr>
      <w:t>16</w:t>
    </w:r>
    <w:r w:rsidRPr="003E7B3A">
      <w:rPr>
        <w:rStyle w:val="Nmerodepgi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3D9" w:rsidRDefault="002C43D9">
      <w:r>
        <w:separator/>
      </w:r>
    </w:p>
  </w:footnote>
  <w:footnote w:type="continuationSeparator" w:id="0">
    <w:p w:rsidR="002C43D9" w:rsidRDefault="002C43D9">
      <w:r>
        <w:continuationSeparator/>
      </w:r>
    </w:p>
  </w:footnote>
  <w:footnote w:id="1">
    <w:p w:rsidR="00110287" w:rsidRPr="00156967" w:rsidRDefault="00110287">
      <w:pPr>
        <w:pStyle w:val="Textodenotaderodap"/>
        <w:rPr>
          <w:rFonts w:ascii="Arial" w:hAnsi="Arial" w:cs="Arial"/>
        </w:rPr>
      </w:pPr>
      <w:r w:rsidRPr="00156967">
        <w:rPr>
          <w:rStyle w:val="Refdenotaderodap"/>
          <w:rFonts w:ascii="Arial" w:hAnsi="Arial" w:cs="Arial"/>
        </w:rPr>
        <w:footnoteRef/>
      </w:r>
      <w:r w:rsidRPr="00156967">
        <w:rPr>
          <w:rFonts w:ascii="Arial" w:hAnsi="Arial" w:cs="Arial"/>
        </w:rPr>
        <w:t xml:space="preserve"> </w:t>
      </w:r>
      <w:r>
        <w:rPr>
          <w:rFonts w:ascii="Arial" w:hAnsi="Arial" w:cs="Arial"/>
        </w:rPr>
        <w:t>9º em 2018, 36º em 2017, 42º em 2016, 25º em 2015 e 28º em 2014, segundo os trends de mercado da Artprice (www.artprice.com).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41E7"/>
    <w:multiLevelType w:val="hybridMultilevel"/>
    <w:tmpl w:val="9E06BC6E"/>
    <w:lvl w:ilvl="0" w:tplc="04160001">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19A87112"/>
    <w:multiLevelType w:val="hybridMultilevel"/>
    <w:tmpl w:val="2DAC8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F42E0"/>
    <w:multiLevelType w:val="hybridMultilevel"/>
    <w:tmpl w:val="9418F098"/>
    <w:lvl w:ilvl="0" w:tplc="8B8AB110">
      <w:start w:val="1"/>
      <w:numFmt w:val="decimalZero"/>
      <w:lvlText w:val="(%1)"/>
      <w:lvlJc w:val="left"/>
      <w:pPr>
        <w:tabs>
          <w:tab w:val="num" w:pos="680"/>
        </w:tabs>
        <w:ind w:left="680" w:hanging="68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333A6BBC"/>
    <w:multiLevelType w:val="hybridMultilevel"/>
    <w:tmpl w:val="D5ACACFA"/>
    <w:lvl w:ilvl="0" w:tplc="04160005">
      <w:start w:val="1"/>
      <w:numFmt w:val="bullet"/>
      <w:lvlText w:val=""/>
      <w:lvlJc w:val="left"/>
      <w:pPr>
        <w:tabs>
          <w:tab w:val="num" w:pos="3060"/>
        </w:tabs>
        <w:ind w:left="3060" w:hanging="360"/>
      </w:pPr>
      <w:rPr>
        <w:rFonts w:ascii="Wingdings" w:hAnsi="Wingdings" w:hint="default"/>
      </w:rPr>
    </w:lvl>
    <w:lvl w:ilvl="1" w:tplc="04160003" w:tentative="1">
      <w:start w:val="1"/>
      <w:numFmt w:val="bullet"/>
      <w:lvlText w:val="o"/>
      <w:lvlJc w:val="left"/>
      <w:pPr>
        <w:tabs>
          <w:tab w:val="num" w:pos="3780"/>
        </w:tabs>
        <w:ind w:left="3780" w:hanging="360"/>
      </w:pPr>
      <w:rPr>
        <w:rFonts w:ascii="Courier New" w:hAnsi="Courier New" w:hint="default"/>
      </w:rPr>
    </w:lvl>
    <w:lvl w:ilvl="2" w:tplc="04160005" w:tentative="1">
      <w:start w:val="1"/>
      <w:numFmt w:val="bullet"/>
      <w:lvlText w:val=""/>
      <w:lvlJc w:val="left"/>
      <w:pPr>
        <w:tabs>
          <w:tab w:val="num" w:pos="4500"/>
        </w:tabs>
        <w:ind w:left="4500" w:hanging="360"/>
      </w:pPr>
      <w:rPr>
        <w:rFonts w:ascii="Wingdings" w:hAnsi="Wingdings" w:hint="default"/>
      </w:rPr>
    </w:lvl>
    <w:lvl w:ilvl="3" w:tplc="04160001" w:tentative="1">
      <w:start w:val="1"/>
      <w:numFmt w:val="bullet"/>
      <w:lvlText w:val=""/>
      <w:lvlJc w:val="left"/>
      <w:pPr>
        <w:tabs>
          <w:tab w:val="num" w:pos="5220"/>
        </w:tabs>
        <w:ind w:left="5220" w:hanging="360"/>
      </w:pPr>
      <w:rPr>
        <w:rFonts w:ascii="Symbol" w:hAnsi="Symbol" w:hint="default"/>
      </w:rPr>
    </w:lvl>
    <w:lvl w:ilvl="4" w:tplc="04160003" w:tentative="1">
      <w:start w:val="1"/>
      <w:numFmt w:val="bullet"/>
      <w:lvlText w:val="o"/>
      <w:lvlJc w:val="left"/>
      <w:pPr>
        <w:tabs>
          <w:tab w:val="num" w:pos="5940"/>
        </w:tabs>
        <w:ind w:left="5940" w:hanging="360"/>
      </w:pPr>
      <w:rPr>
        <w:rFonts w:ascii="Courier New" w:hAnsi="Courier New" w:hint="default"/>
      </w:rPr>
    </w:lvl>
    <w:lvl w:ilvl="5" w:tplc="04160005" w:tentative="1">
      <w:start w:val="1"/>
      <w:numFmt w:val="bullet"/>
      <w:lvlText w:val=""/>
      <w:lvlJc w:val="left"/>
      <w:pPr>
        <w:tabs>
          <w:tab w:val="num" w:pos="6660"/>
        </w:tabs>
        <w:ind w:left="6660" w:hanging="360"/>
      </w:pPr>
      <w:rPr>
        <w:rFonts w:ascii="Wingdings" w:hAnsi="Wingdings" w:hint="default"/>
      </w:rPr>
    </w:lvl>
    <w:lvl w:ilvl="6" w:tplc="04160001" w:tentative="1">
      <w:start w:val="1"/>
      <w:numFmt w:val="bullet"/>
      <w:lvlText w:val=""/>
      <w:lvlJc w:val="left"/>
      <w:pPr>
        <w:tabs>
          <w:tab w:val="num" w:pos="7380"/>
        </w:tabs>
        <w:ind w:left="7380" w:hanging="360"/>
      </w:pPr>
      <w:rPr>
        <w:rFonts w:ascii="Symbol" w:hAnsi="Symbol" w:hint="default"/>
      </w:rPr>
    </w:lvl>
    <w:lvl w:ilvl="7" w:tplc="04160003" w:tentative="1">
      <w:start w:val="1"/>
      <w:numFmt w:val="bullet"/>
      <w:lvlText w:val="o"/>
      <w:lvlJc w:val="left"/>
      <w:pPr>
        <w:tabs>
          <w:tab w:val="num" w:pos="8100"/>
        </w:tabs>
        <w:ind w:left="8100" w:hanging="360"/>
      </w:pPr>
      <w:rPr>
        <w:rFonts w:ascii="Courier New" w:hAnsi="Courier New" w:hint="default"/>
      </w:rPr>
    </w:lvl>
    <w:lvl w:ilvl="8" w:tplc="04160005" w:tentative="1">
      <w:start w:val="1"/>
      <w:numFmt w:val="bullet"/>
      <w:lvlText w:val=""/>
      <w:lvlJc w:val="left"/>
      <w:pPr>
        <w:tabs>
          <w:tab w:val="num" w:pos="8820"/>
        </w:tabs>
        <w:ind w:left="8820" w:hanging="360"/>
      </w:pPr>
      <w:rPr>
        <w:rFonts w:ascii="Wingdings" w:hAnsi="Wingdings" w:hint="default"/>
      </w:rPr>
    </w:lvl>
  </w:abstractNum>
  <w:abstractNum w:abstractNumId="4" w15:restartNumberingAfterBreak="0">
    <w:nsid w:val="5CDB02D0"/>
    <w:multiLevelType w:val="hybridMultilevel"/>
    <w:tmpl w:val="27462002"/>
    <w:lvl w:ilvl="0" w:tplc="04160001">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613E4D6A"/>
    <w:multiLevelType w:val="hybridMultilevel"/>
    <w:tmpl w:val="E6529E1E"/>
    <w:lvl w:ilvl="0" w:tplc="173A8E62">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6" w15:restartNumberingAfterBreak="0">
    <w:nsid w:val="735D0BB9"/>
    <w:multiLevelType w:val="hybridMultilevel"/>
    <w:tmpl w:val="5AA01D9C"/>
    <w:lvl w:ilvl="0" w:tplc="04160001">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79CC5871"/>
    <w:multiLevelType w:val="hybridMultilevel"/>
    <w:tmpl w:val="7EE22A9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2"/>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F8"/>
    <w:rsid w:val="000013B6"/>
    <w:rsid w:val="00001B4A"/>
    <w:rsid w:val="00002125"/>
    <w:rsid w:val="00002E70"/>
    <w:rsid w:val="00013E82"/>
    <w:rsid w:val="000151A1"/>
    <w:rsid w:val="00016BD0"/>
    <w:rsid w:val="00017FD5"/>
    <w:rsid w:val="000278C5"/>
    <w:rsid w:val="00031121"/>
    <w:rsid w:val="000338A5"/>
    <w:rsid w:val="000351D9"/>
    <w:rsid w:val="000379ED"/>
    <w:rsid w:val="00037A06"/>
    <w:rsid w:val="00044D80"/>
    <w:rsid w:val="00046B10"/>
    <w:rsid w:val="00047C6B"/>
    <w:rsid w:val="00050A0E"/>
    <w:rsid w:val="00063BFA"/>
    <w:rsid w:val="00063F07"/>
    <w:rsid w:val="0006401C"/>
    <w:rsid w:val="00074232"/>
    <w:rsid w:val="000945BF"/>
    <w:rsid w:val="000A17CD"/>
    <w:rsid w:val="000A5024"/>
    <w:rsid w:val="000A543E"/>
    <w:rsid w:val="000A56AF"/>
    <w:rsid w:val="000B07CA"/>
    <w:rsid w:val="000B6586"/>
    <w:rsid w:val="000B74DE"/>
    <w:rsid w:val="000B7FA0"/>
    <w:rsid w:val="000C4A45"/>
    <w:rsid w:val="000C6865"/>
    <w:rsid w:val="000C77FF"/>
    <w:rsid w:val="000D52B1"/>
    <w:rsid w:val="000D55F0"/>
    <w:rsid w:val="000D6D1A"/>
    <w:rsid w:val="000E14AF"/>
    <w:rsid w:val="000E1D8E"/>
    <w:rsid w:val="000E2971"/>
    <w:rsid w:val="000E4326"/>
    <w:rsid w:val="00100E23"/>
    <w:rsid w:val="001011A1"/>
    <w:rsid w:val="00110287"/>
    <w:rsid w:val="001127CA"/>
    <w:rsid w:val="00112FF3"/>
    <w:rsid w:val="00114C22"/>
    <w:rsid w:val="001151CD"/>
    <w:rsid w:val="0011581D"/>
    <w:rsid w:val="00116E61"/>
    <w:rsid w:val="001214D0"/>
    <w:rsid w:val="0012211E"/>
    <w:rsid w:val="001243C2"/>
    <w:rsid w:val="00131D93"/>
    <w:rsid w:val="00133819"/>
    <w:rsid w:val="001338C0"/>
    <w:rsid w:val="00133CC5"/>
    <w:rsid w:val="001404D5"/>
    <w:rsid w:val="0014674D"/>
    <w:rsid w:val="00152304"/>
    <w:rsid w:val="00156967"/>
    <w:rsid w:val="00161472"/>
    <w:rsid w:val="001614D3"/>
    <w:rsid w:val="00166B51"/>
    <w:rsid w:val="00170D90"/>
    <w:rsid w:val="00175772"/>
    <w:rsid w:val="0017751A"/>
    <w:rsid w:val="001844EE"/>
    <w:rsid w:val="00191763"/>
    <w:rsid w:val="001932F1"/>
    <w:rsid w:val="00194B30"/>
    <w:rsid w:val="001979EC"/>
    <w:rsid w:val="001A0A13"/>
    <w:rsid w:val="001A13C1"/>
    <w:rsid w:val="001A2506"/>
    <w:rsid w:val="001A512A"/>
    <w:rsid w:val="001A7512"/>
    <w:rsid w:val="001B0036"/>
    <w:rsid w:val="001B0BB9"/>
    <w:rsid w:val="001B46CB"/>
    <w:rsid w:val="001B4729"/>
    <w:rsid w:val="001C21FF"/>
    <w:rsid w:val="001C2996"/>
    <w:rsid w:val="001C3D6C"/>
    <w:rsid w:val="001C6958"/>
    <w:rsid w:val="001C6ACC"/>
    <w:rsid w:val="001C7227"/>
    <w:rsid w:val="001C7CBC"/>
    <w:rsid w:val="001D7A8D"/>
    <w:rsid w:val="001F6F8F"/>
    <w:rsid w:val="001F7697"/>
    <w:rsid w:val="00202A11"/>
    <w:rsid w:val="00203324"/>
    <w:rsid w:val="00203937"/>
    <w:rsid w:val="00205C23"/>
    <w:rsid w:val="00211F94"/>
    <w:rsid w:val="00212B6C"/>
    <w:rsid w:val="0021563B"/>
    <w:rsid w:val="00220F8F"/>
    <w:rsid w:val="002230B1"/>
    <w:rsid w:val="002327A5"/>
    <w:rsid w:val="00232C6A"/>
    <w:rsid w:val="002355BD"/>
    <w:rsid w:val="0023673D"/>
    <w:rsid w:val="00236C6B"/>
    <w:rsid w:val="00237C40"/>
    <w:rsid w:val="00247C83"/>
    <w:rsid w:val="00247E5C"/>
    <w:rsid w:val="00254530"/>
    <w:rsid w:val="00257C27"/>
    <w:rsid w:val="00261607"/>
    <w:rsid w:val="002671C8"/>
    <w:rsid w:val="00272B66"/>
    <w:rsid w:val="00286C6C"/>
    <w:rsid w:val="002876A4"/>
    <w:rsid w:val="00294A3D"/>
    <w:rsid w:val="002A4B16"/>
    <w:rsid w:val="002C21C2"/>
    <w:rsid w:val="002C42F5"/>
    <w:rsid w:val="002C43D9"/>
    <w:rsid w:val="002D2A2B"/>
    <w:rsid w:val="002D44EE"/>
    <w:rsid w:val="002D5159"/>
    <w:rsid w:val="002E07FF"/>
    <w:rsid w:val="002E2612"/>
    <w:rsid w:val="002E4D69"/>
    <w:rsid w:val="002E7858"/>
    <w:rsid w:val="002F25E8"/>
    <w:rsid w:val="002F2A16"/>
    <w:rsid w:val="002F2A68"/>
    <w:rsid w:val="002F7ED9"/>
    <w:rsid w:val="0030529D"/>
    <w:rsid w:val="00307086"/>
    <w:rsid w:val="00307D86"/>
    <w:rsid w:val="0031082E"/>
    <w:rsid w:val="00317AC7"/>
    <w:rsid w:val="00317CAB"/>
    <w:rsid w:val="003214B2"/>
    <w:rsid w:val="003229BF"/>
    <w:rsid w:val="00337489"/>
    <w:rsid w:val="0034094A"/>
    <w:rsid w:val="0034365F"/>
    <w:rsid w:val="003535AE"/>
    <w:rsid w:val="00355AC0"/>
    <w:rsid w:val="003574DA"/>
    <w:rsid w:val="00362681"/>
    <w:rsid w:val="00366102"/>
    <w:rsid w:val="0036613D"/>
    <w:rsid w:val="00366553"/>
    <w:rsid w:val="00370E67"/>
    <w:rsid w:val="0037536A"/>
    <w:rsid w:val="003834BA"/>
    <w:rsid w:val="0038399F"/>
    <w:rsid w:val="003860FB"/>
    <w:rsid w:val="00386DDD"/>
    <w:rsid w:val="0038727C"/>
    <w:rsid w:val="0039055E"/>
    <w:rsid w:val="003930E3"/>
    <w:rsid w:val="00393412"/>
    <w:rsid w:val="003A2263"/>
    <w:rsid w:val="003A29F7"/>
    <w:rsid w:val="003A44BC"/>
    <w:rsid w:val="003A7E8F"/>
    <w:rsid w:val="003B1850"/>
    <w:rsid w:val="003B559A"/>
    <w:rsid w:val="003B63E5"/>
    <w:rsid w:val="003C0852"/>
    <w:rsid w:val="003C2AE8"/>
    <w:rsid w:val="003C47A7"/>
    <w:rsid w:val="003D095D"/>
    <w:rsid w:val="003D1C8D"/>
    <w:rsid w:val="003D2452"/>
    <w:rsid w:val="003D2B01"/>
    <w:rsid w:val="003D44EF"/>
    <w:rsid w:val="003E43A9"/>
    <w:rsid w:val="003E4FDF"/>
    <w:rsid w:val="003E6D58"/>
    <w:rsid w:val="003E7772"/>
    <w:rsid w:val="003E7B3A"/>
    <w:rsid w:val="004018F4"/>
    <w:rsid w:val="0040237B"/>
    <w:rsid w:val="00404CC7"/>
    <w:rsid w:val="004073FC"/>
    <w:rsid w:val="004100C8"/>
    <w:rsid w:val="00412A95"/>
    <w:rsid w:val="0042402A"/>
    <w:rsid w:val="004308D8"/>
    <w:rsid w:val="00431591"/>
    <w:rsid w:val="0043525D"/>
    <w:rsid w:val="00437C71"/>
    <w:rsid w:val="004405DB"/>
    <w:rsid w:val="004421E7"/>
    <w:rsid w:val="004507EB"/>
    <w:rsid w:val="00454C7F"/>
    <w:rsid w:val="0045615C"/>
    <w:rsid w:val="00466787"/>
    <w:rsid w:val="00467B1F"/>
    <w:rsid w:val="004726BE"/>
    <w:rsid w:val="00472BEA"/>
    <w:rsid w:val="004734AB"/>
    <w:rsid w:val="004751E4"/>
    <w:rsid w:val="00475F2D"/>
    <w:rsid w:val="004845C1"/>
    <w:rsid w:val="004913BC"/>
    <w:rsid w:val="00496AFC"/>
    <w:rsid w:val="004A4118"/>
    <w:rsid w:val="004A4433"/>
    <w:rsid w:val="004A4B63"/>
    <w:rsid w:val="004B0ED4"/>
    <w:rsid w:val="004B38D3"/>
    <w:rsid w:val="004B457A"/>
    <w:rsid w:val="004B6A6B"/>
    <w:rsid w:val="004C4CE2"/>
    <w:rsid w:val="004C7474"/>
    <w:rsid w:val="004C7B79"/>
    <w:rsid w:val="004D23CD"/>
    <w:rsid w:val="004D3722"/>
    <w:rsid w:val="004D3954"/>
    <w:rsid w:val="004D3A20"/>
    <w:rsid w:val="004F0E7F"/>
    <w:rsid w:val="004F3E65"/>
    <w:rsid w:val="004F43A7"/>
    <w:rsid w:val="004F7760"/>
    <w:rsid w:val="00500B32"/>
    <w:rsid w:val="00500D7C"/>
    <w:rsid w:val="00502AAC"/>
    <w:rsid w:val="0050386B"/>
    <w:rsid w:val="00503C9C"/>
    <w:rsid w:val="0050479A"/>
    <w:rsid w:val="00520240"/>
    <w:rsid w:val="00533A36"/>
    <w:rsid w:val="00535E52"/>
    <w:rsid w:val="005364AA"/>
    <w:rsid w:val="00536A90"/>
    <w:rsid w:val="005370EE"/>
    <w:rsid w:val="00544A53"/>
    <w:rsid w:val="00547583"/>
    <w:rsid w:val="00551DBC"/>
    <w:rsid w:val="00552621"/>
    <w:rsid w:val="00556EF6"/>
    <w:rsid w:val="005628AF"/>
    <w:rsid w:val="00564C27"/>
    <w:rsid w:val="00565979"/>
    <w:rsid w:val="00566180"/>
    <w:rsid w:val="00567AD9"/>
    <w:rsid w:val="00570D35"/>
    <w:rsid w:val="005768F3"/>
    <w:rsid w:val="00597246"/>
    <w:rsid w:val="005A1008"/>
    <w:rsid w:val="005B0F2B"/>
    <w:rsid w:val="005B0FFD"/>
    <w:rsid w:val="005B7317"/>
    <w:rsid w:val="005C056D"/>
    <w:rsid w:val="005C133F"/>
    <w:rsid w:val="005C2484"/>
    <w:rsid w:val="005C3040"/>
    <w:rsid w:val="005C4183"/>
    <w:rsid w:val="005C5927"/>
    <w:rsid w:val="005C701B"/>
    <w:rsid w:val="005D1402"/>
    <w:rsid w:val="005D4FD5"/>
    <w:rsid w:val="005D5615"/>
    <w:rsid w:val="005E184F"/>
    <w:rsid w:val="005E3B5F"/>
    <w:rsid w:val="005E4770"/>
    <w:rsid w:val="005E778B"/>
    <w:rsid w:val="005F0732"/>
    <w:rsid w:val="005F18DE"/>
    <w:rsid w:val="005F2640"/>
    <w:rsid w:val="00616EAE"/>
    <w:rsid w:val="00620894"/>
    <w:rsid w:val="00622DE6"/>
    <w:rsid w:val="00625601"/>
    <w:rsid w:val="00626DE6"/>
    <w:rsid w:val="00630EEF"/>
    <w:rsid w:val="00640C6D"/>
    <w:rsid w:val="00651061"/>
    <w:rsid w:val="00652E0A"/>
    <w:rsid w:val="00656CB9"/>
    <w:rsid w:val="006645AB"/>
    <w:rsid w:val="006650D4"/>
    <w:rsid w:val="00667935"/>
    <w:rsid w:val="00675DE3"/>
    <w:rsid w:val="006A1E0C"/>
    <w:rsid w:val="006A1E31"/>
    <w:rsid w:val="006A2969"/>
    <w:rsid w:val="006A55C3"/>
    <w:rsid w:val="006B11B3"/>
    <w:rsid w:val="006B32A5"/>
    <w:rsid w:val="006C0334"/>
    <w:rsid w:val="006C4AC2"/>
    <w:rsid w:val="006C5058"/>
    <w:rsid w:val="006C53B0"/>
    <w:rsid w:val="006C5DA2"/>
    <w:rsid w:val="006C71B0"/>
    <w:rsid w:val="006D3D18"/>
    <w:rsid w:val="006D6BB3"/>
    <w:rsid w:val="006D733D"/>
    <w:rsid w:val="006E41F8"/>
    <w:rsid w:val="006F7CCA"/>
    <w:rsid w:val="00714D4B"/>
    <w:rsid w:val="00725C66"/>
    <w:rsid w:val="00733A2A"/>
    <w:rsid w:val="007343E5"/>
    <w:rsid w:val="007359F0"/>
    <w:rsid w:val="007370EC"/>
    <w:rsid w:val="00744428"/>
    <w:rsid w:val="00744906"/>
    <w:rsid w:val="0074674C"/>
    <w:rsid w:val="0075052C"/>
    <w:rsid w:val="007519A6"/>
    <w:rsid w:val="007540F9"/>
    <w:rsid w:val="00755B1E"/>
    <w:rsid w:val="007831DA"/>
    <w:rsid w:val="007902F3"/>
    <w:rsid w:val="00792447"/>
    <w:rsid w:val="007975ED"/>
    <w:rsid w:val="007A0CAE"/>
    <w:rsid w:val="007A32C3"/>
    <w:rsid w:val="007A39FB"/>
    <w:rsid w:val="007A5146"/>
    <w:rsid w:val="007A7670"/>
    <w:rsid w:val="007B1637"/>
    <w:rsid w:val="007B58F5"/>
    <w:rsid w:val="007C07AC"/>
    <w:rsid w:val="007C12E7"/>
    <w:rsid w:val="007C42AD"/>
    <w:rsid w:val="007D1F1E"/>
    <w:rsid w:val="007D3043"/>
    <w:rsid w:val="007D584F"/>
    <w:rsid w:val="007D70D0"/>
    <w:rsid w:val="007E3007"/>
    <w:rsid w:val="007E3DA4"/>
    <w:rsid w:val="007E670B"/>
    <w:rsid w:val="007E68C3"/>
    <w:rsid w:val="007F0D0F"/>
    <w:rsid w:val="007F24ED"/>
    <w:rsid w:val="007F7244"/>
    <w:rsid w:val="008038EE"/>
    <w:rsid w:val="00803D40"/>
    <w:rsid w:val="008116C9"/>
    <w:rsid w:val="0081196D"/>
    <w:rsid w:val="00816BEA"/>
    <w:rsid w:val="008266E7"/>
    <w:rsid w:val="00826B32"/>
    <w:rsid w:val="0082741A"/>
    <w:rsid w:val="0083196A"/>
    <w:rsid w:val="00835057"/>
    <w:rsid w:val="0083582C"/>
    <w:rsid w:val="008370BD"/>
    <w:rsid w:val="00845A11"/>
    <w:rsid w:val="008463A1"/>
    <w:rsid w:val="00847FAB"/>
    <w:rsid w:val="00850F77"/>
    <w:rsid w:val="00854EAB"/>
    <w:rsid w:val="00860D52"/>
    <w:rsid w:val="00864CE6"/>
    <w:rsid w:val="008703CC"/>
    <w:rsid w:val="00875431"/>
    <w:rsid w:val="00881B69"/>
    <w:rsid w:val="00885C7F"/>
    <w:rsid w:val="00891520"/>
    <w:rsid w:val="00891FC3"/>
    <w:rsid w:val="008924B5"/>
    <w:rsid w:val="0089437A"/>
    <w:rsid w:val="00895382"/>
    <w:rsid w:val="00895648"/>
    <w:rsid w:val="00897DD9"/>
    <w:rsid w:val="008A1178"/>
    <w:rsid w:val="008A319A"/>
    <w:rsid w:val="008B23F0"/>
    <w:rsid w:val="008B3AC4"/>
    <w:rsid w:val="008C0B9F"/>
    <w:rsid w:val="008C3065"/>
    <w:rsid w:val="008C44B6"/>
    <w:rsid w:val="008C58A0"/>
    <w:rsid w:val="008D41B4"/>
    <w:rsid w:val="008D4A56"/>
    <w:rsid w:val="008D57E7"/>
    <w:rsid w:val="008E421B"/>
    <w:rsid w:val="008E4606"/>
    <w:rsid w:val="008E4AAF"/>
    <w:rsid w:val="008E57C4"/>
    <w:rsid w:val="008E64CD"/>
    <w:rsid w:val="008F2EA0"/>
    <w:rsid w:val="008F6AC9"/>
    <w:rsid w:val="008F6BD1"/>
    <w:rsid w:val="008F78B5"/>
    <w:rsid w:val="00913747"/>
    <w:rsid w:val="00914266"/>
    <w:rsid w:val="00915187"/>
    <w:rsid w:val="009168B8"/>
    <w:rsid w:val="00920136"/>
    <w:rsid w:val="0092587B"/>
    <w:rsid w:val="0092595D"/>
    <w:rsid w:val="00931291"/>
    <w:rsid w:val="0093323D"/>
    <w:rsid w:val="00935CA3"/>
    <w:rsid w:val="009373F7"/>
    <w:rsid w:val="00937AA7"/>
    <w:rsid w:val="00937B51"/>
    <w:rsid w:val="009409C3"/>
    <w:rsid w:val="00950E05"/>
    <w:rsid w:val="00955CA2"/>
    <w:rsid w:val="00965954"/>
    <w:rsid w:val="009705D9"/>
    <w:rsid w:val="00981525"/>
    <w:rsid w:val="00984FAC"/>
    <w:rsid w:val="00987D31"/>
    <w:rsid w:val="009900FB"/>
    <w:rsid w:val="00993A9C"/>
    <w:rsid w:val="00995B2C"/>
    <w:rsid w:val="00995F62"/>
    <w:rsid w:val="009A2A99"/>
    <w:rsid w:val="009A41A7"/>
    <w:rsid w:val="009A4FE1"/>
    <w:rsid w:val="009A7F97"/>
    <w:rsid w:val="009B0804"/>
    <w:rsid w:val="009B5856"/>
    <w:rsid w:val="009B7420"/>
    <w:rsid w:val="009C5A98"/>
    <w:rsid w:val="009C7ADD"/>
    <w:rsid w:val="009D34C8"/>
    <w:rsid w:val="009D60C5"/>
    <w:rsid w:val="009D6B3B"/>
    <w:rsid w:val="009E479C"/>
    <w:rsid w:val="009E66C6"/>
    <w:rsid w:val="009E6E9F"/>
    <w:rsid w:val="009E721E"/>
    <w:rsid w:val="009E7F0E"/>
    <w:rsid w:val="009F1314"/>
    <w:rsid w:val="009F5B47"/>
    <w:rsid w:val="00A03969"/>
    <w:rsid w:val="00A16DA0"/>
    <w:rsid w:val="00A20921"/>
    <w:rsid w:val="00A212A5"/>
    <w:rsid w:val="00A237B2"/>
    <w:rsid w:val="00A324CD"/>
    <w:rsid w:val="00A327C8"/>
    <w:rsid w:val="00A43D7C"/>
    <w:rsid w:val="00A44153"/>
    <w:rsid w:val="00A53810"/>
    <w:rsid w:val="00A552DE"/>
    <w:rsid w:val="00A631CF"/>
    <w:rsid w:val="00A6388F"/>
    <w:rsid w:val="00A64DFE"/>
    <w:rsid w:val="00A737AE"/>
    <w:rsid w:val="00A86C9C"/>
    <w:rsid w:val="00A90F05"/>
    <w:rsid w:val="00A9201F"/>
    <w:rsid w:val="00A975D5"/>
    <w:rsid w:val="00AA12BD"/>
    <w:rsid w:val="00AA6593"/>
    <w:rsid w:val="00AB00FD"/>
    <w:rsid w:val="00AB3E4D"/>
    <w:rsid w:val="00AB4927"/>
    <w:rsid w:val="00AB4BC9"/>
    <w:rsid w:val="00AB7493"/>
    <w:rsid w:val="00AC2A36"/>
    <w:rsid w:val="00AC6FDE"/>
    <w:rsid w:val="00AD24DD"/>
    <w:rsid w:val="00AD4CE9"/>
    <w:rsid w:val="00AE1673"/>
    <w:rsid w:val="00AE2D29"/>
    <w:rsid w:val="00AE44C1"/>
    <w:rsid w:val="00AE50C8"/>
    <w:rsid w:val="00AF5064"/>
    <w:rsid w:val="00B007F8"/>
    <w:rsid w:val="00B06BB5"/>
    <w:rsid w:val="00B07E5C"/>
    <w:rsid w:val="00B12E0A"/>
    <w:rsid w:val="00B16CE8"/>
    <w:rsid w:val="00B201FF"/>
    <w:rsid w:val="00B23831"/>
    <w:rsid w:val="00B25D78"/>
    <w:rsid w:val="00B25DA1"/>
    <w:rsid w:val="00B31AB5"/>
    <w:rsid w:val="00B33C8C"/>
    <w:rsid w:val="00B3449A"/>
    <w:rsid w:val="00B350E6"/>
    <w:rsid w:val="00B41B91"/>
    <w:rsid w:val="00B45010"/>
    <w:rsid w:val="00B50244"/>
    <w:rsid w:val="00B51566"/>
    <w:rsid w:val="00B52BCA"/>
    <w:rsid w:val="00B557FD"/>
    <w:rsid w:val="00B56A29"/>
    <w:rsid w:val="00B56F0C"/>
    <w:rsid w:val="00B63834"/>
    <w:rsid w:val="00B645E4"/>
    <w:rsid w:val="00B73769"/>
    <w:rsid w:val="00B81610"/>
    <w:rsid w:val="00B822DD"/>
    <w:rsid w:val="00B82450"/>
    <w:rsid w:val="00B87475"/>
    <w:rsid w:val="00B91715"/>
    <w:rsid w:val="00B91C0B"/>
    <w:rsid w:val="00B92FAF"/>
    <w:rsid w:val="00B93FEE"/>
    <w:rsid w:val="00BA0894"/>
    <w:rsid w:val="00BA169F"/>
    <w:rsid w:val="00BA1BEF"/>
    <w:rsid w:val="00BA20FB"/>
    <w:rsid w:val="00BA3831"/>
    <w:rsid w:val="00BA7203"/>
    <w:rsid w:val="00BA773C"/>
    <w:rsid w:val="00BB478B"/>
    <w:rsid w:val="00BB7E47"/>
    <w:rsid w:val="00BC2144"/>
    <w:rsid w:val="00BC6650"/>
    <w:rsid w:val="00BC6711"/>
    <w:rsid w:val="00BE7BB6"/>
    <w:rsid w:val="00BF116B"/>
    <w:rsid w:val="00BF68F7"/>
    <w:rsid w:val="00BF7504"/>
    <w:rsid w:val="00C03CCA"/>
    <w:rsid w:val="00C13B8C"/>
    <w:rsid w:val="00C15E88"/>
    <w:rsid w:val="00C16F56"/>
    <w:rsid w:val="00C17C07"/>
    <w:rsid w:val="00C217CB"/>
    <w:rsid w:val="00C40A54"/>
    <w:rsid w:val="00C4570A"/>
    <w:rsid w:val="00C506DE"/>
    <w:rsid w:val="00C55EE9"/>
    <w:rsid w:val="00C56357"/>
    <w:rsid w:val="00C61C4E"/>
    <w:rsid w:val="00C714C0"/>
    <w:rsid w:val="00C74020"/>
    <w:rsid w:val="00C748F8"/>
    <w:rsid w:val="00C86B29"/>
    <w:rsid w:val="00C870FB"/>
    <w:rsid w:val="00C92669"/>
    <w:rsid w:val="00C94A73"/>
    <w:rsid w:val="00C97CCB"/>
    <w:rsid w:val="00CA0575"/>
    <w:rsid w:val="00CA4D0E"/>
    <w:rsid w:val="00CA74D3"/>
    <w:rsid w:val="00CB2D3E"/>
    <w:rsid w:val="00CB391D"/>
    <w:rsid w:val="00CC013A"/>
    <w:rsid w:val="00CC4D9B"/>
    <w:rsid w:val="00CC4EF3"/>
    <w:rsid w:val="00CD49D8"/>
    <w:rsid w:val="00CE050C"/>
    <w:rsid w:val="00CF181F"/>
    <w:rsid w:val="00CF6AE7"/>
    <w:rsid w:val="00D02A69"/>
    <w:rsid w:val="00D046E9"/>
    <w:rsid w:val="00D14B19"/>
    <w:rsid w:val="00D30880"/>
    <w:rsid w:val="00D426B7"/>
    <w:rsid w:val="00D42CDB"/>
    <w:rsid w:val="00D44CBA"/>
    <w:rsid w:val="00D45363"/>
    <w:rsid w:val="00D511BB"/>
    <w:rsid w:val="00D52320"/>
    <w:rsid w:val="00D53AAD"/>
    <w:rsid w:val="00D55690"/>
    <w:rsid w:val="00D65997"/>
    <w:rsid w:val="00D67D0F"/>
    <w:rsid w:val="00D7096E"/>
    <w:rsid w:val="00D746FF"/>
    <w:rsid w:val="00D84CD8"/>
    <w:rsid w:val="00D86450"/>
    <w:rsid w:val="00D905DF"/>
    <w:rsid w:val="00D908D9"/>
    <w:rsid w:val="00D90E48"/>
    <w:rsid w:val="00D93C27"/>
    <w:rsid w:val="00D95E85"/>
    <w:rsid w:val="00DA0A0A"/>
    <w:rsid w:val="00DA0E83"/>
    <w:rsid w:val="00DA23CB"/>
    <w:rsid w:val="00DA5073"/>
    <w:rsid w:val="00DA5F5A"/>
    <w:rsid w:val="00DA7B1C"/>
    <w:rsid w:val="00DB0901"/>
    <w:rsid w:val="00DB34E9"/>
    <w:rsid w:val="00DB38F7"/>
    <w:rsid w:val="00DB39C4"/>
    <w:rsid w:val="00DB50C7"/>
    <w:rsid w:val="00DB52EF"/>
    <w:rsid w:val="00DC5B46"/>
    <w:rsid w:val="00DC623C"/>
    <w:rsid w:val="00DD3F6D"/>
    <w:rsid w:val="00DD5421"/>
    <w:rsid w:val="00DD6A7F"/>
    <w:rsid w:val="00DE0AFA"/>
    <w:rsid w:val="00DF0502"/>
    <w:rsid w:val="00DF2420"/>
    <w:rsid w:val="00DF29FE"/>
    <w:rsid w:val="00E002F5"/>
    <w:rsid w:val="00E007E5"/>
    <w:rsid w:val="00E039F8"/>
    <w:rsid w:val="00E246AD"/>
    <w:rsid w:val="00E31F8F"/>
    <w:rsid w:val="00E32215"/>
    <w:rsid w:val="00E326D0"/>
    <w:rsid w:val="00E37BCE"/>
    <w:rsid w:val="00E42E04"/>
    <w:rsid w:val="00E46885"/>
    <w:rsid w:val="00E519F3"/>
    <w:rsid w:val="00E5687D"/>
    <w:rsid w:val="00E56FD3"/>
    <w:rsid w:val="00E6078D"/>
    <w:rsid w:val="00E654A7"/>
    <w:rsid w:val="00E660CC"/>
    <w:rsid w:val="00E66C15"/>
    <w:rsid w:val="00E8030A"/>
    <w:rsid w:val="00E92818"/>
    <w:rsid w:val="00E93F38"/>
    <w:rsid w:val="00E94EB8"/>
    <w:rsid w:val="00E96095"/>
    <w:rsid w:val="00E97C22"/>
    <w:rsid w:val="00EA4321"/>
    <w:rsid w:val="00EA5DA4"/>
    <w:rsid w:val="00EA770C"/>
    <w:rsid w:val="00EC0DB0"/>
    <w:rsid w:val="00EC0FF1"/>
    <w:rsid w:val="00EC2216"/>
    <w:rsid w:val="00EC4784"/>
    <w:rsid w:val="00EE280A"/>
    <w:rsid w:val="00EE5E99"/>
    <w:rsid w:val="00EF2E88"/>
    <w:rsid w:val="00EF6E1F"/>
    <w:rsid w:val="00F01603"/>
    <w:rsid w:val="00F026D1"/>
    <w:rsid w:val="00F02BFE"/>
    <w:rsid w:val="00F05579"/>
    <w:rsid w:val="00F065C4"/>
    <w:rsid w:val="00F06EE4"/>
    <w:rsid w:val="00F13B9E"/>
    <w:rsid w:val="00F15F2B"/>
    <w:rsid w:val="00F2583B"/>
    <w:rsid w:val="00F25938"/>
    <w:rsid w:val="00F26E4F"/>
    <w:rsid w:val="00F27AB1"/>
    <w:rsid w:val="00F35D85"/>
    <w:rsid w:val="00F35FCA"/>
    <w:rsid w:val="00F36C5C"/>
    <w:rsid w:val="00F42F33"/>
    <w:rsid w:val="00F43271"/>
    <w:rsid w:val="00F45699"/>
    <w:rsid w:val="00F523EA"/>
    <w:rsid w:val="00F639A6"/>
    <w:rsid w:val="00F64835"/>
    <w:rsid w:val="00F72460"/>
    <w:rsid w:val="00F75077"/>
    <w:rsid w:val="00F85BC4"/>
    <w:rsid w:val="00F85DF1"/>
    <w:rsid w:val="00F912E7"/>
    <w:rsid w:val="00F92B73"/>
    <w:rsid w:val="00F93F41"/>
    <w:rsid w:val="00F979D3"/>
    <w:rsid w:val="00FA69D9"/>
    <w:rsid w:val="00FB084F"/>
    <w:rsid w:val="00FB099F"/>
    <w:rsid w:val="00FB4223"/>
    <w:rsid w:val="00FC0886"/>
    <w:rsid w:val="00FC2040"/>
    <w:rsid w:val="00FC7E81"/>
    <w:rsid w:val="00FD0AE7"/>
    <w:rsid w:val="00FD2920"/>
    <w:rsid w:val="00FD3A49"/>
    <w:rsid w:val="00FD6594"/>
    <w:rsid w:val="00FE1A44"/>
    <w:rsid w:val="00FE707C"/>
    <w:rsid w:val="00FF225A"/>
    <w:rsid w:val="00FF597D"/>
    <w:rsid w:val="00FF7A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silver"/>
    </o:shapedefaults>
    <o:shapelayout v:ext="edit">
      <o:idmap v:ext="edit" data="1"/>
    </o:shapelayout>
  </w:shapeDefaults>
  <w:decimalSymbol w:val=","/>
  <w:listSeparator w:val=";"/>
  <w15:chartTrackingRefBased/>
  <w15:docId w15:val="{59B8D74E-084A-42E9-8726-F0EC02B3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next w:val="Normal"/>
    <w:autoRedefine/>
    <w:qFormat/>
    <w:rsid w:val="00547583"/>
    <w:pPr>
      <w:keepNext/>
      <w:spacing w:before="240" w:after="60" w:line="480" w:lineRule="auto"/>
      <w:ind w:left="720" w:hanging="720"/>
      <w:outlineLvl w:val="1"/>
    </w:pPr>
    <w:rPr>
      <w:rFonts w:ascii="Arial" w:hAnsi="Arial" w:cs="Arial"/>
      <w:b/>
      <w:bCs/>
      <w:iCs/>
      <w:sz w:val="28"/>
      <w:szCs w:val="28"/>
    </w:rPr>
  </w:style>
  <w:style w:type="paragraph" w:styleId="Ttulo4">
    <w:name w:val="heading 4"/>
    <w:basedOn w:val="Normal"/>
    <w:next w:val="Normal"/>
    <w:qFormat/>
    <w:rsid w:val="00547583"/>
    <w:pPr>
      <w:keepNext/>
      <w:spacing w:before="240" w:after="60" w:line="480" w:lineRule="auto"/>
      <w:jc w:val="both"/>
      <w:outlineLvl w:val="3"/>
    </w:pPr>
    <w:rPr>
      <w:rFonts w:ascii="Arial" w:hAnsi="Arial"/>
      <w:b/>
      <w:bCs/>
      <w:sz w:val="28"/>
      <w:szCs w:val="28"/>
    </w:rPr>
  </w:style>
  <w:style w:type="paragraph" w:styleId="Ttulo5">
    <w:name w:val="heading 5"/>
    <w:basedOn w:val="Normal"/>
    <w:next w:val="Normal"/>
    <w:qFormat/>
    <w:rsid w:val="00547583"/>
    <w:pPr>
      <w:spacing w:before="240" w:after="60" w:line="480" w:lineRule="auto"/>
      <w:jc w:val="both"/>
      <w:outlineLvl w:val="4"/>
    </w:pPr>
    <w:rPr>
      <w:rFonts w:ascii="Arial" w:hAnsi="Arial"/>
      <w:b/>
      <w:bCs/>
      <w:iCs/>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7A39FB"/>
    <w:rPr>
      <w:color w:val="0000FF"/>
      <w:u w:val="single"/>
    </w:rPr>
  </w:style>
  <w:style w:type="paragraph" w:styleId="Textodenotaderodap">
    <w:name w:val="footnote text"/>
    <w:basedOn w:val="Normal"/>
    <w:semiHidden/>
    <w:rsid w:val="00F05579"/>
    <w:rPr>
      <w:sz w:val="20"/>
      <w:szCs w:val="20"/>
    </w:rPr>
  </w:style>
  <w:style w:type="character" w:styleId="Refdenotaderodap">
    <w:name w:val="footnote reference"/>
    <w:basedOn w:val="Fontepargpadro"/>
    <w:semiHidden/>
    <w:rsid w:val="00F05579"/>
    <w:rPr>
      <w:vertAlign w:val="superscript"/>
    </w:rPr>
  </w:style>
  <w:style w:type="paragraph" w:styleId="Recuodecorpodetexto2">
    <w:name w:val="Body Text Indent 2"/>
    <w:basedOn w:val="Normal"/>
    <w:rsid w:val="00547583"/>
    <w:pPr>
      <w:spacing w:line="480" w:lineRule="auto"/>
      <w:ind w:firstLine="2340"/>
      <w:jc w:val="both"/>
    </w:pPr>
    <w:rPr>
      <w:rFonts w:ascii="Arial" w:hAnsi="Arial"/>
    </w:rPr>
  </w:style>
  <w:style w:type="paragraph" w:styleId="Recuodecorpodetexto3">
    <w:name w:val="Body Text Indent 3"/>
    <w:basedOn w:val="Normal"/>
    <w:rsid w:val="00547583"/>
    <w:pPr>
      <w:spacing w:line="480" w:lineRule="auto"/>
      <w:ind w:firstLine="2340"/>
      <w:jc w:val="both"/>
    </w:pPr>
    <w:rPr>
      <w:rFonts w:ascii="Arial" w:hAnsi="Arial"/>
    </w:rPr>
  </w:style>
  <w:style w:type="paragraph" w:styleId="ndicedeilustraes">
    <w:name w:val="table of figures"/>
    <w:basedOn w:val="Normal"/>
    <w:next w:val="Normal"/>
    <w:semiHidden/>
    <w:rsid w:val="00547583"/>
    <w:pPr>
      <w:spacing w:line="480" w:lineRule="auto"/>
      <w:ind w:left="482" w:hanging="482"/>
      <w:jc w:val="both"/>
    </w:pPr>
    <w:rPr>
      <w:rFonts w:ascii="Arial" w:hAnsi="Arial"/>
      <w:sz w:val="20"/>
    </w:rPr>
  </w:style>
  <w:style w:type="paragraph" w:customStyle="1" w:styleId="Tabela">
    <w:name w:val="Tabela"/>
    <w:basedOn w:val="Normal"/>
    <w:rsid w:val="00547583"/>
    <w:pPr>
      <w:spacing w:line="360" w:lineRule="auto"/>
      <w:jc w:val="center"/>
    </w:pPr>
    <w:rPr>
      <w:rFonts w:ascii="Arial" w:hAnsi="Arial"/>
    </w:rPr>
  </w:style>
  <w:style w:type="paragraph" w:styleId="Rodap">
    <w:name w:val="footer"/>
    <w:basedOn w:val="Normal"/>
    <w:rsid w:val="00547583"/>
    <w:pPr>
      <w:tabs>
        <w:tab w:val="center" w:pos="4419"/>
        <w:tab w:val="right" w:pos="8838"/>
      </w:tabs>
      <w:spacing w:line="480" w:lineRule="auto"/>
      <w:jc w:val="both"/>
    </w:pPr>
    <w:rPr>
      <w:rFonts w:ascii="Arial" w:hAnsi="Arial"/>
    </w:rPr>
  </w:style>
  <w:style w:type="table" w:styleId="Tabelacomgrade">
    <w:name w:val="Table Grid"/>
    <w:basedOn w:val="Tabelanormal"/>
    <w:rsid w:val="0056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3E7B3A"/>
    <w:pPr>
      <w:tabs>
        <w:tab w:val="center" w:pos="4252"/>
        <w:tab w:val="right" w:pos="8504"/>
      </w:tabs>
    </w:pPr>
  </w:style>
  <w:style w:type="character" w:styleId="Nmerodepgina">
    <w:name w:val="page number"/>
    <w:basedOn w:val="Fontepargpadro"/>
    <w:rsid w:val="003E7B3A"/>
  </w:style>
  <w:style w:type="character" w:styleId="TextodoEspaoReservado">
    <w:name w:val="Placeholder Text"/>
    <w:basedOn w:val="Fontepargpadro"/>
    <w:uiPriority w:val="99"/>
    <w:semiHidden/>
    <w:rsid w:val="00A86C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5100">
      <w:bodyDiv w:val="1"/>
      <w:marLeft w:val="0"/>
      <w:marRight w:val="0"/>
      <w:marTop w:val="0"/>
      <w:marBottom w:val="0"/>
      <w:divBdr>
        <w:top w:val="none" w:sz="0" w:space="0" w:color="auto"/>
        <w:left w:val="none" w:sz="0" w:space="0" w:color="auto"/>
        <w:bottom w:val="none" w:sz="0" w:space="0" w:color="auto"/>
        <w:right w:val="none" w:sz="0" w:space="0" w:color="auto"/>
      </w:divBdr>
    </w:div>
    <w:div w:id="147671134">
      <w:bodyDiv w:val="1"/>
      <w:marLeft w:val="0"/>
      <w:marRight w:val="0"/>
      <w:marTop w:val="0"/>
      <w:marBottom w:val="0"/>
      <w:divBdr>
        <w:top w:val="none" w:sz="0" w:space="0" w:color="auto"/>
        <w:left w:val="none" w:sz="0" w:space="0" w:color="auto"/>
        <w:bottom w:val="none" w:sz="0" w:space="0" w:color="auto"/>
        <w:right w:val="none" w:sz="0" w:space="0" w:color="auto"/>
      </w:divBdr>
    </w:div>
    <w:div w:id="432676292">
      <w:bodyDiv w:val="1"/>
      <w:marLeft w:val="0"/>
      <w:marRight w:val="0"/>
      <w:marTop w:val="0"/>
      <w:marBottom w:val="0"/>
      <w:divBdr>
        <w:top w:val="none" w:sz="0" w:space="0" w:color="auto"/>
        <w:left w:val="none" w:sz="0" w:space="0" w:color="auto"/>
        <w:bottom w:val="none" w:sz="0" w:space="0" w:color="auto"/>
        <w:right w:val="none" w:sz="0" w:space="0" w:color="auto"/>
      </w:divBdr>
    </w:div>
    <w:div w:id="565804544">
      <w:bodyDiv w:val="1"/>
      <w:marLeft w:val="0"/>
      <w:marRight w:val="0"/>
      <w:marTop w:val="0"/>
      <w:marBottom w:val="0"/>
      <w:divBdr>
        <w:top w:val="none" w:sz="0" w:space="0" w:color="auto"/>
        <w:left w:val="none" w:sz="0" w:space="0" w:color="auto"/>
        <w:bottom w:val="none" w:sz="0" w:space="0" w:color="auto"/>
        <w:right w:val="none" w:sz="0" w:space="0" w:color="auto"/>
      </w:divBdr>
    </w:div>
    <w:div w:id="1015812906">
      <w:bodyDiv w:val="1"/>
      <w:marLeft w:val="0"/>
      <w:marRight w:val="0"/>
      <w:marTop w:val="0"/>
      <w:marBottom w:val="0"/>
      <w:divBdr>
        <w:top w:val="none" w:sz="0" w:space="0" w:color="auto"/>
        <w:left w:val="none" w:sz="0" w:space="0" w:color="auto"/>
        <w:bottom w:val="none" w:sz="0" w:space="0" w:color="auto"/>
        <w:right w:val="none" w:sz="0" w:space="0" w:color="auto"/>
      </w:divBdr>
    </w:div>
    <w:div w:id="1105997873">
      <w:bodyDiv w:val="1"/>
      <w:marLeft w:val="0"/>
      <w:marRight w:val="0"/>
      <w:marTop w:val="0"/>
      <w:marBottom w:val="0"/>
      <w:divBdr>
        <w:top w:val="none" w:sz="0" w:space="0" w:color="auto"/>
        <w:left w:val="none" w:sz="0" w:space="0" w:color="auto"/>
        <w:bottom w:val="none" w:sz="0" w:space="0" w:color="auto"/>
        <w:right w:val="none" w:sz="0" w:space="0" w:color="auto"/>
      </w:divBdr>
    </w:div>
    <w:div w:id="1319458236">
      <w:bodyDiv w:val="1"/>
      <w:marLeft w:val="0"/>
      <w:marRight w:val="0"/>
      <w:marTop w:val="0"/>
      <w:marBottom w:val="0"/>
      <w:divBdr>
        <w:top w:val="none" w:sz="0" w:space="0" w:color="auto"/>
        <w:left w:val="none" w:sz="0" w:space="0" w:color="auto"/>
        <w:bottom w:val="none" w:sz="0" w:space="0" w:color="auto"/>
        <w:right w:val="none" w:sz="0" w:space="0" w:color="auto"/>
      </w:divBdr>
    </w:div>
    <w:div w:id="1858813375">
      <w:bodyDiv w:val="1"/>
      <w:marLeft w:val="0"/>
      <w:marRight w:val="0"/>
      <w:marTop w:val="0"/>
      <w:marBottom w:val="0"/>
      <w:divBdr>
        <w:top w:val="none" w:sz="0" w:space="0" w:color="auto"/>
        <w:left w:val="none" w:sz="0" w:space="0" w:color="auto"/>
        <w:bottom w:val="none" w:sz="0" w:space="0" w:color="auto"/>
        <w:right w:val="none" w:sz="0" w:space="0" w:color="auto"/>
      </w:divBdr>
    </w:div>
    <w:div w:id="1976908234">
      <w:bodyDiv w:val="1"/>
      <w:marLeft w:val="0"/>
      <w:marRight w:val="0"/>
      <w:marTop w:val="0"/>
      <w:marBottom w:val="0"/>
      <w:divBdr>
        <w:top w:val="none" w:sz="0" w:space="0" w:color="auto"/>
        <w:left w:val="none" w:sz="0" w:space="0" w:color="auto"/>
        <w:bottom w:val="none" w:sz="0" w:space="0" w:color="auto"/>
        <w:right w:val="none" w:sz="0" w:space="0" w:color="auto"/>
      </w:divBdr>
    </w:div>
    <w:div w:id="21301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value.com" TargetMode="External"/><Relationship Id="rId13" Type="http://schemas.openxmlformats.org/officeDocument/2006/relationships/hyperlink" Target="https://www.artprice.com/artprice-reports/the-art-market-in-201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artsy.net/article/artsy-editorial-global-art-market-reached-674-billion-2018-6" TargetMode="External"/><Relationship Id="rId2" Type="http://schemas.openxmlformats.org/officeDocument/2006/relationships/numbering" Target="numbering.xml"/><Relationship Id="rId16" Type="http://schemas.openxmlformats.org/officeDocument/2006/relationships/hyperlink" Target="http://www.efmaefm.org/0EFMAMEETINGS/EFMA%20ANNUAL%20MEETINGS/2009-milan/EFMA2009_0422_fullpape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 TargetMode="External"/><Relationship Id="rId5" Type="http://schemas.openxmlformats.org/officeDocument/2006/relationships/webSettings" Target="webSettings.xml"/><Relationship Id="rId15" Type="http://schemas.openxmlformats.org/officeDocument/2006/relationships/hyperlink" Target="https://srn.com/abstract=2636269"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cfb.rs.opf.slu.cz/content/conference-proceeding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0356-3652-4A96-AB5A-1F9EEE73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9598</TotalTime>
  <Pages>17</Pages>
  <Words>6426</Words>
  <Characters>34702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XIV COBREAP – CONGRESSO BRASILEIRO DE ENGENHARIA DE AVALIAÇÕES E PERÍCIAS</vt:lpstr>
    </vt:vector>
  </TitlesOfParts>
  <Company>Home</Company>
  <LinksUpToDate>false</LinksUpToDate>
  <CharactersWithSpaces>41046</CharactersWithSpaces>
  <SharedDoc>false</SharedDoc>
  <HLinks>
    <vt:vector size="24" baseType="variant">
      <vt:variant>
        <vt:i4>7798820</vt:i4>
      </vt:variant>
      <vt:variant>
        <vt:i4>48</vt:i4>
      </vt:variant>
      <vt:variant>
        <vt:i4>0</vt:i4>
      </vt:variant>
      <vt:variant>
        <vt:i4>5</vt:i4>
      </vt:variant>
      <vt:variant>
        <vt:lpwstr>http://www.pio.com.br/</vt:lpwstr>
      </vt:variant>
      <vt:variant>
        <vt:lpwstr/>
      </vt:variant>
      <vt:variant>
        <vt:i4>8257586</vt:i4>
      </vt:variant>
      <vt:variant>
        <vt:i4>0</vt:i4>
      </vt:variant>
      <vt:variant>
        <vt:i4>0</vt:i4>
      </vt:variant>
      <vt:variant>
        <vt:i4>5</vt:i4>
      </vt:variant>
      <vt:variant>
        <vt:lpwstr>http://www.abraman.org.br/</vt:lpwstr>
      </vt:variant>
      <vt:variant>
        <vt:lpwstr/>
      </vt:variant>
      <vt:variant>
        <vt:i4>2556031</vt:i4>
      </vt:variant>
      <vt:variant>
        <vt:i4>-1</vt:i4>
      </vt:variant>
      <vt:variant>
        <vt:i4>1325</vt:i4>
      </vt:variant>
      <vt:variant>
        <vt:i4>1</vt:i4>
      </vt:variant>
      <vt:variant>
        <vt:lpwstr>http://www.orientaloutpost.com/c/kp4/38570.gif</vt:lpwstr>
      </vt:variant>
      <vt:variant>
        <vt:lpwstr/>
      </vt:variant>
      <vt:variant>
        <vt:i4>2162807</vt:i4>
      </vt:variant>
      <vt:variant>
        <vt:i4>-1</vt:i4>
      </vt:variant>
      <vt:variant>
        <vt:i4>1326</vt:i4>
      </vt:variant>
      <vt:variant>
        <vt:i4>1</vt:i4>
      </vt:variant>
      <vt:variant>
        <vt:lpwstr>http://www.orientaloutpost.com/c/kp4/21361.gif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XIV COBREAP – CONGRESSO BRASILEIRO DE ENGENHARIA DE AVALIAÇÕES E PERÍCIAS</dc:title>
  <dc:subject/>
  <dc:creator>User</dc:creator>
  <cp:keywords/>
  <dc:description/>
  <cp:lastModifiedBy>Agnaldo Benvenho</cp:lastModifiedBy>
  <cp:revision>134</cp:revision>
  <cp:lastPrinted>2009-01-26T20:29:00Z</cp:lastPrinted>
  <dcterms:created xsi:type="dcterms:W3CDTF">2019-05-29T19:39:00Z</dcterms:created>
  <dcterms:modified xsi:type="dcterms:W3CDTF">2019-06-17T18:09:00Z</dcterms:modified>
</cp:coreProperties>
</file>